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F5B3" w14:textId="77777777" w:rsidR="009924A8" w:rsidRPr="00EF130B" w:rsidRDefault="009924A8" w:rsidP="009924A8">
      <w:pPr>
        <w:jc w:val="center"/>
        <w:rPr>
          <w:b/>
          <w:bCs/>
        </w:rPr>
      </w:pPr>
      <w:r w:rsidRPr="4EE03BE2">
        <w:rPr>
          <w:b/>
          <w:bCs/>
        </w:rPr>
        <w:t>MEMORANDUM OF UNDERSTANDING</w:t>
      </w:r>
    </w:p>
    <w:p w14:paraId="1810802A" w14:textId="77777777" w:rsidR="009924A8" w:rsidRPr="00EF130B" w:rsidRDefault="009924A8" w:rsidP="009924A8">
      <w:pPr>
        <w:jc w:val="center"/>
        <w:rPr>
          <w:b/>
          <w:bCs/>
        </w:rPr>
      </w:pPr>
      <w:r w:rsidRPr="00EF130B">
        <w:rPr>
          <w:b/>
          <w:bCs/>
        </w:rPr>
        <w:t>BETWEEN</w:t>
      </w:r>
    </w:p>
    <w:p w14:paraId="4C117E35" w14:textId="77777777" w:rsidR="009924A8" w:rsidRPr="00EF130B" w:rsidRDefault="009924A8" w:rsidP="009924A8">
      <w:pPr>
        <w:jc w:val="center"/>
        <w:rPr>
          <w:b/>
          <w:bCs/>
          <w:i/>
          <w:iCs/>
          <w:u w:val="single"/>
        </w:rPr>
      </w:pPr>
      <w:r w:rsidRPr="001F3C1C">
        <w:rPr>
          <w:b/>
          <w:bCs/>
          <w:i/>
          <w:iCs/>
          <w:highlight w:val="yellow"/>
          <w:u w:val="single"/>
        </w:rPr>
        <w:t>Inpatient Behavioral Health Service DBA IPBHS</w:t>
      </w:r>
    </w:p>
    <w:p w14:paraId="5623A4DF" w14:textId="77777777" w:rsidR="009924A8" w:rsidRPr="00EF130B" w:rsidRDefault="009924A8" w:rsidP="009924A8">
      <w:pPr>
        <w:jc w:val="center"/>
        <w:rPr>
          <w:b/>
          <w:bCs/>
        </w:rPr>
      </w:pPr>
      <w:r w:rsidRPr="00EF130B">
        <w:rPr>
          <w:b/>
          <w:bCs/>
        </w:rPr>
        <w:t>AND</w:t>
      </w:r>
    </w:p>
    <w:p w14:paraId="3078F540" w14:textId="77777777" w:rsidR="009924A8" w:rsidRPr="00EF130B" w:rsidRDefault="009924A8" w:rsidP="009924A8">
      <w:pPr>
        <w:jc w:val="center"/>
        <w:rPr>
          <w:b/>
          <w:bCs/>
          <w:i/>
          <w:iCs/>
          <w:u w:val="single"/>
        </w:rPr>
      </w:pPr>
      <w:r w:rsidRPr="001F3C1C">
        <w:rPr>
          <w:b/>
          <w:bCs/>
          <w:i/>
          <w:iCs/>
          <w:highlight w:val="yellow"/>
          <w:u w:val="single"/>
        </w:rPr>
        <w:t>Outpatient Behavioral Health Service DBA OPBHS</w:t>
      </w:r>
    </w:p>
    <w:p w14:paraId="2B6563DB" w14:textId="77777777" w:rsidR="009924A8" w:rsidRDefault="009924A8" w:rsidP="009924A8">
      <w:pPr>
        <w:jc w:val="center"/>
        <w:rPr>
          <w:i/>
          <w:iCs/>
          <w:u w:val="single"/>
        </w:rPr>
      </w:pPr>
    </w:p>
    <w:p w14:paraId="079C84B6" w14:textId="00F5CFB8" w:rsidR="009924A8" w:rsidRPr="00090E52" w:rsidRDefault="009924A8" w:rsidP="009924A8">
      <w:r>
        <w:t xml:space="preserve">This memorandum of understanding (MOU) is made and entered into by and between </w:t>
      </w:r>
      <w:r w:rsidRPr="001F3C1C">
        <w:rPr>
          <w:i/>
          <w:iCs/>
          <w:highlight w:val="yellow"/>
        </w:rPr>
        <w:t>Inpatient Behavioral Health Service (</w:t>
      </w:r>
      <w:r>
        <w:rPr>
          <w:i/>
          <w:iCs/>
          <w:highlight w:val="yellow"/>
        </w:rPr>
        <w:t>“</w:t>
      </w:r>
      <w:r w:rsidRPr="001F3C1C">
        <w:rPr>
          <w:i/>
          <w:iCs/>
          <w:highlight w:val="yellow"/>
        </w:rPr>
        <w:t>IPBHS</w:t>
      </w:r>
      <w:r>
        <w:rPr>
          <w:i/>
          <w:iCs/>
          <w:highlight w:val="yellow"/>
        </w:rPr>
        <w:t>”</w:t>
      </w:r>
      <w:r w:rsidRPr="001F3C1C">
        <w:rPr>
          <w:i/>
          <w:iCs/>
          <w:highlight w:val="yellow"/>
        </w:rPr>
        <w:t>)</w:t>
      </w:r>
      <w:r w:rsidRPr="001F3C1C">
        <w:rPr>
          <w:highlight w:val="yellow"/>
        </w:rPr>
        <w:t xml:space="preserve">, </w:t>
      </w:r>
      <w:r w:rsidRPr="001F3C1C">
        <w:rPr>
          <w:highlight w:val="yellow"/>
          <w:u w:val="single"/>
        </w:rPr>
        <w:t>LEGAL ADDRESS,</w:t>
      </w:r>
      <w:r>
        <w:rPr>
          <w:u w:val="single"/>
        </w:rPr>
        <w:t xml:space="preserve"> </w:t>
      </w:r>
      <w:r>
        <w:t xml:space="preserve">and </w:t>
      </w:r>
      <w:r w:rsidRPr="001F3C1C">
        <w:rPr>
          <w:i/>
          <w:iCs/>
          <w:highlight w:val="yellow"/>
        </w:rPr>
        <w:t>Outpatient Behavioral Health Service (</w:t>
      </w:r>
      <w:r>
        <w:rPr>
          <w:i/>
          <w:iCs/>
          <w:highlight w:val="yellow"/>
        </w:rPr>
        <w:t>“</w:t>
      </w:r>
      <w:r w:rsidRPr="001F3C1C">
        <w:rPr>
          <w:i/>
          <w:iCs/>
          <w:highlight w:val="yellow"/>
        </w:rPr>
        <w:t>OPBHS</w:t>
      </w:r>
      <w:r>
        <w:rPr>
          <w:i/>
          <w:iCs/>
          <w:highlight w:val="yellow"/>
        </w:rPr>
        <w:t>”</w:t>
      </w:r>
      <w:r w:rsidRPr="001F3C1C">
        <w:rPr>
          <w:i/>
          <w:iCs/>
          <w:highlight w:val="yellow"/>
        </w:rPr>
        <w:t>)</w:t>
      </w:r>
      <w:r w:rsidRPr="001F3C1C">
        <w:rPr>
          <w:highlight w:val="yellow"/>
        </w:rPr>
        <w:t xml:space="preserve">, </w:t>
      </w:r>
      <w:r w:rsidRPr="001F3C1C">
        <w:rPr>
          <w:highlight w:val="yellow"/>
          <w:u w:val="single"/>
        </w:rPr>
        <w:t>LEGAL ADDRESS</w:t>
      </w:r>
      <w:r>
        <w:t>. The parties agree as follows:</w:t>
      </w:r>
    </w:p>
    <w:p w14:paraId="1A9BE79A" w14:textId="77777777" w:rsidR="009924A8" w:rsidRDefault="009924A8" w:rsidP="009924A8">
      <w:pPr>
        <w:pStyle w:val="Heading1"/>
      </w:pPr>
      <w:r w:rsidRPr="00090E52">
        <w:t>RECITALS/PURPOSE</w:t>
      </w:r>
    </w:p>
    <w:p w14:paraId="6A10BC3C" w14:textId="77777777" w:rsidR="009924A8" w:rsidRDefault="009924A8" w:rsidP="009924A8">
      <w:r>
        <w:t xml:space="preserve">Whereas </w:t>
      </w:r>
      <w:r w:rsidRPr="00645094">
        <w:rPr>
          <w:highlight w:val="yellow"/>
        </w:rPr>
        <w:t>IPBHS</w:t>
      </w:r>
      <w:r>
        <w:t xml:space="preserve"> provides certain medical and inpatient psychiatric services to patients admitted to their facility as a result of suicidal ideation or suicide attempt, and,</w:t>
      </w:r>
    </w:p>
    <w:p w14:paraId="1F1239F8" w14:textId="77777777" w:rsidR="009924A8" w:rsidRDefault="009924A8" w:rsidP="009924A8">
      <w:r>
        <w:t xml:space="preserve">Whereas </w:t>
      </w:r>
      <w:r w:rsidRPr="00645094">
        <w:rPr>
          <w:highlight w:val="yellow"/>
        </w:rPr>
        <w:t>IPBHS</w:t>
      </w:r>
      <w:r>
        <w:t xml:space="preserve"> desires to implement a process designed to enhance the likelihood that individuals who have been admitted to this facility for suicidal ideation or a suicide attempt are offered and attend follow-up services upon discharge, and,</w:t>
      </w:r>
    </w:p>
    <w:p w14:paraId="19468F5A" w14:textId="77777777" w:rsidR="009924A8" w:rsidRDefault="009924A8" w:rsidP="009924A8">
      <w:r>
        <w:t>Whereas OPBHS provides outpatient ambulatory behavioral health services in person, via telehealth, and/or via phone to individuals experiencing symptoms of a behavioral health disorder and/or post-acute suicide stabilization, therefore,</w:t>
      </w:r>
    </w:p>
    <w:p w14:paraId="42F62246" w14:textId="77777777" w:rsidR="009924A8" w:rsidRDefault="009924A8" w:rsidP="009924A8">
      <w:r>
        <w:rPr>
          <w:b/>
          <w:bCs/>
        </w:rPr>
        <w:t>T</w:t>
      </w:r>
      <w:r w:rsidRPr="00CC0398">
        <w:rPr>
          <w:b/>
          <w:bCs/>
        </w:rPr>
        <w:t>he purpose of this MOU</w:t>
      </w:r>
      <w:r>
        <w:t xml:space="preserve"> is to establish a framework of collaboration between IPBHS and OPBHS to do the following:</w:t>
      </w:r>
    </w:p>
    <w:p w14:paraId="778DA234" w14:textId="77777777" w:rsidR="009924A8" w:rsidRDefault="009924A8" w:rsidP="009924A8">
      <w:pPr>
        <w:pStyle w:val="ListParagraph"/>
        <w:numPr>
          <w:ilvl w:val="0"/>
          <w:numId w:val="11"/>
        </w:numPr>
      </w:pPr>
      <w:r>
        <w:t>Ensure continuity of care</w:t>
      </w:r>
    </w:p>
    <w:p w14:paraId="0F94AFBC" w14:textId="77777777" w:rsidR="009924A8" w:rsidRDefault="009924A8" w:rsidP="009924A8">
      <w:pPr>
        <w:pStyle w:val="ListParagraph"/>
        <w:numPr>
          <w:ilvl w:val="0"/>
          <w:numId w:val="11"/>
        </w:numPr>
      </w:pPr>
      <w:r>
        <w:t xml:space="preserve">Support the timely transition of care </w:t>
      </w:r>
    </w:p>
    <w:p w14:paraId="5626891A" w14:textId="77777777" w:rsidR="009924A8" w:rsidRDefault="009924A8" w:rsidP="009924A8">
      <w:pPr>
        <w:pStyle w:val="ListParagraph"/>
        <w:numPr>
          <w:ilvl w:val="0"/>
          <w:numId w:val="11"/>
        </w:numPr>
      </w:pPr>
      <w:r>
        <w:t xml:space="preserve">Offer enhanced follow-up services </w:t>
      </w:r>
    </w:p>
    <w:p w14:paraId="1F668111" w14:textId="77777777" w:rsidR="009924A8" w:rsidRDefault="009924A8" w:rsidP="009924A8">
      <w:pPr>
        <w:pStyle w:val="ListParagraph"/>
        <w:numPr>
          <w:ilvl w:val="0"/>
          <w:numId w:val="11"/>
        </w:numPr>
      </w:pPr>
      <w:r>
        <w:t xml:space="preserve">Create a systems-based approach to suicide-specific care that prevents, assesses, treats, and supports recovery from suicidality </w:t>
      </w:r>
    </w:p>
    <w:p w14:paraId="3A721BC1" w14:textId="77777777" w:rsidR="009924A8" w:rsidRDefault="009924A8" w:rsidP="009924A8">
      <w:r>
        <w:t>This MOU also establishes collaboration between the parties to establish a framework in suicide care, assessment, and management practices. As applicable, we are integrating standardized suicide prevention practices, including suicide care management, planning, training, screening, assessment, service referral, and delivery and tracking measures.</w:t>
      </w:r>
    </w:p>
    <w:p w14:paraId="469F85E4" w14:textId="77777777" w:rsidR="009924A8" w:rsidRDefault="009924A8" w:rsidP="009924A8">
      <w:r>
        <w:lastRenderedPageBreak/>
        <w:t>Additionally, this MOU establishes confidentiality requirements so that IPBHS may share and otherwise exchange confidential information with OPBHS about patients treated by IPBHS and referred to OPBHS to facilitate participation in outpatient care and the enhanced follow-up service.</w:t>
      </w:r>
    </w:p>
    <w:p w14:paraId="6ADB806D" w14:textId="77777777" w:rsidR="009924A8" w:rsidRPr="009924A8" w:rsidRDefault="009924A8" w:rsidP="009924A8">
      <w:pPr>
        <w:rPr>
          <w:b/>
          <w:bCs/>
        </w:rPr>
      </w:pPr>
      <w:r w:rsidRPr="009924A8">
        <w:rPr>
          <w:b/>
          <w:bCs/>
        </w:rPr>
        <w:t xml:space="preserve">The intended outcomes of this Agreement are as follows: </w:t>
      </w:r>
    </w:p>
    <w:p w14:paraId="01DACB9D" w14:textId="77777777" w:rsidR="009924A8" w:rsidRPr="004A1607" w:rsidRDefault="009924A8" w:rsidP="009924A8">
      <w:pPr>
        <w:pStyle w:val="ListParagraph"/>
        <w:numPr>
          <w:ilvl w:val="0"/>
          <w:numId w:val="10"/>
        </w:numPr>
        <w:ind w:left="1080"/>
        <w:rPr>
          <w:highlight w:val="yellow"/>
        </w:rPr>
      </w:pPr>
      <w:r>
        <w:rPr>
          <w:highlight w:val="yellow"/>
        </w:rPr>
        <w:t>P</w:t>
      </w:r>
      <w:r w:rsidRPr="004A1607">
        <w:rPr>
          <w:highlight w:val="yellow"/>
        </w:rPr>
        <w:t>rovide a zero</w:t>
      </w:r>
      <w:r>
        <w:rPr>
          <w:highlight w:val="yellow"/>
        </w:rPr>
        <w:t xml:space="preserve"> </w:t>
      </w:r>
      <w:r w:rsidRPr="004A1607">
        <w:rPr>
          <w:highlight w:val="yellow"/>
        </w:rPr>
        <w:t xml:space="preserve">gap in </w:t>
      </w:r>
      <w:r>
        <w:rPr>
          <w:highlight w:val="yellow"/>
        </w:rPr>
        <w:t xml:space="preserve">the </w:t>
      </w:r>
      <w:r w:rsidRPr="004A1607">
        <w:rPr>
          <w:highlight w:val="yellow"/>
        </w:rPr>
        <w:t>continuity of care between inpatient and outpatient behavioral health care</w:t>
      </w:r>
    </w:p>
    <w:p w14:paraId="41C1FCCF" w14:textId="77777777" w:rsidR="009924A8" w:rsidRPr="004A1607" w:rsidRDefault="009924A8" w:rsidP="009924A8">
      <w:pPr>
        <w:pStyle w:val="ListParagraph"/>
        <w:numPr>
          <w:ilvl w:val="0"/>
          <w:numId w:val="10"/>
        </w:numPr>
        <w:ind w:left="1080"/>
        <w:rPr>
          <w:highlight w:val="yellow"/>
        </w:rPr>
      </w:pPr>
      <w:r>
        <w:rPr>
          <w:highlight w:val="yellow"/>
        </w:rPr>
        <w:t>C</w:t>
      </w:r>
      <w:r w:rsidRPr="004A1607">
        <w:rPr>
          <w:highlight w:val="yellow"/>
        </w:rPr>
        <w:t xml:space="preserve">onnect </w:t>
      </w:r>
      <w:r>
        <w:rPr>
          <w:highlight w:val="yellow"/>
        </w:rPr>
        <w:t xml:space="preserve">inpatient </w:t>
      </w:r>
      <w:r w:rsidRPr="004A1607">
        <w:rPr>
          <w:highlight w:val="yellow"/>
        </w:rPr>
        <w:t>referrals to outpatient behavioral health services</w:t>
      </w:r>
    </w:p>
    <w:p w14:paraId="4A0C6293" w14:textId="77777777" w:rsidR="009924A8" w:rsidRPr="004A1607" w:rsidRDefault="009924A8" w:rsidP="009924A8">
      <w:pPr>
        <w:pStyle w:val="ListParagraph"/>
        <w:numPr>
          <w:ilvl w:val="0"/>
          <w:numId w:val="10"/>
        </w:numPr>
        <w:ind w:left="1080"/>
        <w:rPr>
          <w:highlight w:val="yellow"/>
        </w:rPr>
      </w:pPr>
      <w:r>
        <w:rPr>
          <w:highlight w:val="yellow"/>
        </w:rPr>
        <w:t>P</w:t>
      </w:r>
      <w:r w:rsidRPr="004A1607">
        <w:rPr>
          <w:highlight w:val="yellow"/>
        </w:rPr>
        <w:t>romote engagement</w:t>
      </w:r>
      <w:r>
        <w:rPr>
          <w:highlight w:val="yellow"/>
        </w:rPr>
        <w:t>,</w:t>
      </w:r>
      <w:r w:rsidRPr="004A1607">
        <w:rPr>
          <w:highlight w:val="yellow"/>
        </w:rPr>
        <w:t xml:space="preserve"> maintenance in behavioral health services</w:t>
      </w:r>
      <w:r>
        <w:rPr>
          <w:highlight w:val="yellow"/>
        </w:rPr>
        <w:t>, and recovery of referred patients and families</w:t>
      </w:r>
    </w:p>
    <w:p w14:paraId="582E75EC" w14:textId="77777777" w:rsidR="009924A8" w:rsidRPr="004A1607" w:rsidRDefault="009924A8" w:rsidP="009924A8">
      <w:pPr>
        <w:pStyle w:val="ListParagraph"/>
        <w:numPr>
          <w:ilvl w:val="0"/>
          <w:numId w:val="10"/>
        </w:numPr>
        <w:ind w:left="1080"/>
        <w:rPr>
          <w:highlight w:val="yellow"/>
        </w:rPr>
      </w:pPr>
      <w:r>
        <w:rPr>
          <w:highlight w:val="yellow"/>
        </w:rPr>
        <w:t>M</w:t>
      </w:r>
      <w:r w:rsidRPr="004A1607">
        <w:rPr>
          <w:highlight w:val="yellow"/>
        </w:rPr>
        <w:t xml:space="preserve">inimize risk, to the extent possible, for individuals who refuse </w:t>
      </w:r>
      <w:r>
        <w:rPr>
          <w:highlight w:val="yellow"/>
        </w:rPr>
        <w:t xml:space="preserve">outpatient </w:t>
      </w:r>
      <w:r w:rsidRPr="004A1607">
        <w:rPr>
          <w:highlight w:val="yellow"/>
        </w:rPr>
        <w:t>behavioral health treatment</w:t>
      </w:r>
    </w:p>
    <w:p w14:paraId="096EB462" w14:textId="77777777" w:rsidR="009924A8" w:rsidRPr="004A1607" w:rsidRDefault="009924A8" w:rsidP="009924A8">
      <w:pPr>
        <w:pStyle w:val="ListParagraph"/>
        <w:numPr>
          <w:ilvl w:val="0"/>
          <w:numId w:val="10"/>
        </w:numPr>
        <w:ind w:left="1080"/>
        <w:rPr>
          <w:highlight w:val="yellow"/>
        </w:rPr>
      </w:pPr>
      <w:r>
        <w:rPr>
          <w:highlight w:val="yellow"/>
        </w:rPr>
        <w:t>R</w:t>
      </w:r>
      <w:r w:rsidRPr="004A1607">
        <w:rPr>
          <w:highlight w:val="yellow"/>
        </w:rPr>
        <w:t xml:space="preserve">educe returns to </w:t>
      </w:r>
      <w:r>
        <w:rPr>
          <w:highlight w:val="yellow"/>
        </w:rPr>
        <w:t xml:space="preserve">the </w:t>
      </w:r>
      <w:r w:rsidRPr="004A1607">
        <w:rPr>
          <w:highlight w:val="yellow"/>
        </w:rPr>
        <w:t xml:space="preserve">emergency department and acute care settings </w:t>
      </w:r>
    </w:p>
    <w:p w14:paraId="770AB850" w14:textId="77777777" w:rsidR="009924A8" w:rsidRPr="004A1607" w:rsidRDefault="009924A8" w:rsidP="009924A8">
      <w:pPr>
        <w:pStyle w:val="ListParagraph"/>
        <w:numPr>
          <w:ilvl w:val="0"/>
          <w:numId w:val="10"/>
        </w:numPr>
        <w:ind w:left="1080"/>
        <w:rPr>
          <w:highlight w:val="yellow"/>
        </w:rPr>
      </w:pPr>
      <w:r>
        <w:rPr>
          <w:highlight w:val="yellow"/>
        </w:rPr>
        <w:t>I</w:t>
      </w:r>
      <w:r w:rsidRPr="004A1607">
        <w:rPr>
          <w:highlight w:val="yellow"/>
        </w:rPr>
        <w:t xml:space="preserve">ncrease utilization of standardized suicide risk screening and assessment protocols </w:t>
      </w:r>
    </w:p>
    <w:p w14:paraId="714DD569" w14:textId="77777777" w:rsidR="009924A8" w:rsidRPr="004A1607" w:rsidRDefault="009924A8" w:rsidP="009924A8">
      <w:pPr>
        <w:pStyle w:val="ListParagraph"/>
        <w:numPr>
          <w:ilvl w:val="0"/>
          <w:numId w:val="10"/>
        </w:numPr>
        <w:ind w:left="1080"/>
        <w:rPr>
          <w:highlight w:val="yellow"/>
        </w:rPr>
      </w:pPr>
      <w:r>
        <w:rPr>
          <w:highlight w:val="yellow"/>
        </w:rPr>
        <w:t>Grow</w:t>
      </w:r>
      <w:r w:rsidRPr="004A1607">
        <w:rPr>
          <w:highlight w:val="yellow"/>
        </w:rPr>
        <w:t xml:space="preserve"> and expand </w:t>
      </w:r>
      <w:r>
        <w:rPr>
          <w:highlight w:val="yellow"/>
        </w:rPr>
        <w:t xml:space="preserve">the </w:t>
      </w:r>
      <w:r w:rsidRPr="004A1607">
        <w:rPr>
          <w:highlight w:val="yellow"/>
        </w:rPr>
        <w:t xml:space="preserve">delivery of best practices in the treatment of suicide </w:t>
      </w:r>
    </w:p>
    <w:p w14:paraId="10AFE6FF" w14:textId="6B6BBFF0" w:rsidR="009924A8" w:rsidRPr="009924A8" w:rsidRDefault="009924A8" w:rsidP="009924A8">
      <w:pPr>
        <w:pStyle w:val="ListParagraph"/>
        <w:numPr>
          <w:ilvl w:val="0"/>
          <w:numId w:val="10"/>
        </w:numPr>
        <w:ind w:left="1080"/>
        <w:rPr>
          <w:highlight w:val="yellow"/>
        </w:rPr>
      </w:pPr>
      <w:r>
        <w:rPr>
          <w:highlight w:val="yellow"/>
        </w:rPr>
        <w:t>P</w:t>
      </w:r>
      <w:r w:rsidRPr="004A1607">
        <w:rPr>
          <w:highlight w:val="yellow"/>
        </w:rPr>
        <w:t>revent deaths by suicide</w:t>
      </w:r>
    </w:p>
    <w:p w14:paraId="473D7018" w14:textId="77777777" w:rsidR="009924A8" w:rsidRDefault="009924A8" w:rsidP="009924A8">
      <w:pPr>
        <w:pStyle w:val="Heading1"/>
      </w:pPr>
      <w:r w:rsidRPr="009831D6">
        <w:t>TARGET POPULATION</w:t>
      </w:r>
    </w:p>
    <w:p w14:paraId="1B02300C" w14:textId="77777777" w:rsidR="009924A8" w:rsidRDefault="009924A8" w:rsidP="009924A8">
      <w:r>
        <w:t xml:space="preserve">The target population under this Agreement are persons treated by </w:t>
      </w:r>
      <w:r w:rsidRPr="000D0B95">
        <w:rPr>
          <w:highlight w:val="yellow"/>
        </w:rPr>
        <w:t>IPBHS</w:t>
      </w:r>
      <w:r>
        <w:t xml:space="preserve"> who were admitted as a result of suicidal ideation or a suicide attempt, and who meet the following criteria:</w:t>
      </w:r>
    </w:p>
    <w:p w14:paraId="3DFA0258" w14:textId="77777777" w:rsidR="009924A8" w:rsidRDefault="009924A8" w:rsidP="009924A8">
      <w:pPr>
        <w:pStyle w:val="ListParagraph"/>
        <w:numPr>
          <w:ilvl w:val="0"/>
          <w:numId w:val="2"/>
        </w:numPr>
        <w:rPr>
          <w:i/>
          <w:iCs/>
          <w:highlight w:val="yellow"/>
        </w:rPr>
      </w:pPr>
      <w:r w:rsidRPr="00BF46E4">
        <w:rPr>
          <w:i/>
          <w:iCs/>
          <w:highlight w:val="yellow"/>
        </w:rPr>
        <w:t>1</w:t>
      </w:r>
      <w:r>
        <w:rPr>
          <w:i/>
          <w:iCs/>
          <w:highlight w:val="yellow"/>
        </w:rPr>
        <w:t>2+</w:t>
      </w:r>
      <w:r w:rsidRPr="00BF46E4">
        <w:rPr>
          <w:i/>
          <w:iCs/>
          <w:highlight w:val="yellow"/>
        </w:rPr>
        <w:t xml:space="preserve"> years of age</w:t>
      </w:r>
      <w:r>
        <w:rPr>
          <w:i/>
          <w:iCs/>
          <w:highlight w:val="yellow"/>
        </w:rPr>
        <w:t xml:space="preserve"> AND</w:t>
      </w:r>
      <w:r w:rsidRPr="00BF46E4">
        <w:rPr>
          <w:i/>
          <w:iCs/>
          <w:highlight w:val="yellow"/>
        </w:rPr>
        <w:t xml:space="preserve"> </w:t>
      </w:r>
    </w:p>
    <w:p w14:paraId="3B38B679" w14:textId="77777777" w:rsidR="009924A8" w:rsidRPr="00BF46E4" w:rsidRDefault="009924A8" w:rsidP="009924A8">
      <w:pPr>
        <w:pStyle w:val="ListParagraph"/>
        <w:numPr>
          <w:ilvl w:val="1"/>
          <w:numId w:val="2"/>
        </w:numPr>
        <w:rPr>
          <w:i/>
          <w:iCs/>
          <w:highlight w:val="yellow"/>
        </w:rPr>
      </w:pPr>
      <w:r>
        <w:rPr>
          <w:i/>
          <w:iCs/>
          <w:highlight w:val="yellow"/>
        </w:rPr>
        <w:t>H</w:t>
      </w:r>
      <w:r w:rsidRPr="00BF46E4">
        <w:rPr>
          <w:i/>
          <w:iCs/>
          <w:highlight w:val="yellow"/>
        </w:rPr>
        <w:t>a</w:t>
      </w:r>
      <w:r>
        <w:rPr>
          <w:i/>
          <w:iCs/>
          <w:highlight w:val="yellow"/>
        </w:rPr>
        <w:t>ve</w:t>
      </w:r>
      <w:r w:rsidRPr="00BF46E4">
        <w:rPr>
          <w:i/>
          <w:iCs/>
          <w:highlight w:val="yellow"/>
        </w:rPr>
        <w:t xml:space="preserve"> an </w:t>
      </w:r>
      <w:r>
        <w:rPr>
          <w:i/>
          <w:iCs/>
          <w:highlight w:val="yellow"/>
        </w:rPr>
        <w:t xml:space="preserve">existing, </w:t>
      </w:r>
      <w:r w:rsidRPr="00BF46E4">
        <w:rPr>
          <w:i/>
          <w:iCs/>
          <w:highlight w:val="yellow"/>
        </w:rPr>
        <w:t>active relationship with OPBHS</w:t>
      </w:r>
    </w:p>
    <w:p w14:paraId="09BD04E5" w14:textId="77777777" w:rsidR="009924A8" w:rsidRDefault="009924A8" w:rsidP="009924A8">
      <w:pPr>
        <w:pStyle w:val="ListParagraph"/>
        <w:ind w:left="1800"/>
        <w:rPr>
          <w:i/>
          <w:iCs/>
          <w:highlight w:val="yellow"/>
        </w:rPr>
      </w:pPr>
      <w:r>
        <w:rPr>
          <w:i/>
          <w:iCs/>
          <w:highlight w:val="yellow"/>
        </w:rPr>
        <w:t>OR</w:t>
      </w:r>
    </w:p>
    <w:p w14:paraId="33717CDD" w14:textId="77777777" w:rsidR="009924A8" w:rsidRDefault="009924A8" w:rsidP="009924A8">
      <w:pPr>
        <w:pStyle w:val="ListParagraph"/>
        <w:numPr>
          <w:ilvl w:val="1"/>
          <w:numId w:val="2"/>
        </w:numPr>
        <w:rPr>
          <w:i/>
          <w:iCs/>
          <w:highlight w:val="yellow"/>
        </w:rPr>
      </w:pPr>
      <w:r>
        <w:rPr>
          <w:i/>
          <w:iCs/>
          <w:highlight w:val="yellow"/>
        </w:rPr>
        <w:t>H</w:t>
      </w:r>
      <w:r w:rsidRPr="00BF46E4">
        <w:rPr>
          <w:i/>
          <w:iCs/>
          <w:highlight w:val="yellow"/>
        </w:rPr>
        <w:t xml:space="preserve">ave </w:t>
      </w:r>
      <w:r>
        <w:rPr>
          <w:i/>
          <w:iCs/>
          <w:highlight w:val="yellow"/>
        </w:rPr>
        <w:t xml:space="preserve">accepted an </w:t>
      </w:r>
      <w:r w:rsidRPr="00BF46E4">
        <w:rPr>
          <w:i/>
          <w:iCs/>
          <w:highlight w:val="yellow"/>
        </w:rPr>
        <w:t>outpatient</w:t>
      </w:r>
      <w:r>
        <w:rPr>
          <w:i/>
          <w:iCs/>
          <w:highlight w:val="yellow"/>
        </w:rPr>
        <w:t xml:space="preserve"> behavioral health care</w:t>
      </w:r>
      <w:r w:rsidRPr="00BF46E4">
        <w:rPr>
          <w:i/>
          <w:iCs/>
          <w:highlight w:val="yellow"/>
        </w:rPr>
        <w:t xml:space="preserve"> referral </w:t>
      </w:r>
      <w:r>
        <w:rPr>
          <w:i/>
          <w:iCs/>
          <w:highlight w:val="yellow"/>
        </w:rPr>
        <w:t>and follow-up services with OPBHS</w:t>
      </w:r>
    </w:p>
    <w:p w14:paraId="23D0028D" w14:textId="77777777" w:rsidR="009924A8" w:rsidRDefault="009924A8" w:rsidP="009924A8">
      <w:pPr>
        <w:pStyle w:val="ListParagraph"/>
        <w:ind w:left="1800"/>
        <w:rPr>
          <w:i/>
          <w:iCs/>
          <w:highlight w:val="yellow"/>
        </w:rPr>
      </w:pPr>
      <w:r w:rsidRPr="00CC0398">
        <w:rPr>
          <w:i/>
          <w:iCs/>
          <w:highlight w:val="yellow"/>
        </w:rPr>
        <w:t>OR</w:t>
      </w:r>
    </w:p>
    <w:p w14:paraId="2F4CBA4C" w14:textId="771677A0" w:rsidR="009924A8" w:rsidRPr="009924A8" w:rsidRDefault="009924A8" w:rsidP="009924A8">
      <w:pPr>
        <w:pStyle w:val="ListParagraph"/>
        <w:numPr>
          <w:ilvl w:val="1"/>
          <w:numId w:val="2"/>
        </w:numPr>
        <w:rPr>
          <w:i/>
          <w:iCs/>
          <w:highlight w:val="yellow"/>
        </w:rPr>
      </w:pPr>
      <w:r>
        <w:rPr>
          <w:i/>
          <w:iCs/>
          <w:highlight w:val="yellow"/>
        </w:rPr>
        <w:t>W</w:t>
      </w:r>
      <w:r w:rsidRPr="00CC0398">
        <w:rPr>
          <w:i/>
          <w:iCs/>
          <w:highlight w:val="yellow"/>
        </w:rPr>
        <w:t>ho initially refuse</w:t>
      </w:r>
      <w:r>
        <w:rPr>
          <w:i/>
          <w:iCs/>
          <w:highlight w:val="yellow"/>
        </w:rPr>
        <w:t>d</w:t>
      </w:r>
      <w:r w:rsidRPr="00CC0398">
        <w:rPr>
          <w:i/>
          <w:iCs/>
          <w:highlight w:val="yellow"/>
        </w:rPr>
        <w:t xml:space="preserve"> outpatient behavioral health care</w:t>
      </w:r>
      <w:r>
        <w:rPr>
          <w:i/>
          <w:iCs/>
          <w:highlight w:val="yellow"/>
        </w:rPr>
        <w:t>, but</w:t>
      </w:r>
      <w:r w:rsidRPr="00CC0398">
        <w:rPr>
          <w:i/>
          <w:iCs/>
          <w:highlight w:val="yellow"/>
        </w:rPr>
        <w:t xml:space="preserve"> ha</w:t>
      </w:r>
      <w:r>
        <w:rPr>
          <w:i/>
          <w:iCs/>
          <w:highlight w:val="yellow"/>
        </w:rPr>
        <w:t>s</w:t>
      </w:r>
      <w:r w:rsidRPr="00CC0398">
        <w:rPr>
          <w:i/>
          <w:iCs/>
          <w:highlight w:val="yellow"/>
        </w:rPr>
        <w:t xml:space="preserve"> </w:t>
      </w:r>
      <w:r>
        <w:rPr>
          <w:i/>
          <w:iCs/>
          <w:highlight w:val="yellow"/>
        </w:rPr>
        <w:t xml:space="preserve">now </w:t>
      </w:r>
      <w:r w:rsidRPr="00CC0398">
        <w:rPr>
          <w:i/>
          <w:iCs/>
          <w:highlight w:val="yellow"/>
        </w:rPr>
        <w:t xml:space="preserve">agreed to receive follow-up services after </w:t>
      </w:r>
      <w:proofErr w:type="gramStart"/>
      <w:r w:rsidRPr="00CC0398">
        <w:rPr>
          <w:i/>
          <w:iCs/>
          <w:highlight w:val="yellow"/>
        </w:rPr>
        <w:t>discharge</w:t>
      </w:r>
      <w:proofErr w:type="gramEnd"/>
      <w:r w:rsidRPr="00CC0398">
        <w:rPr>
          <w:i/>
          <w:iCs/>
          <w:highlight w:val="yellow"/>
        </w:rPr>
        <w:t xml:space="preserve"> </w:t>
      </w:r>
    </w:p>
    <w:p w14:paraId="2D93BBF8" w14:textId="77777777" w:rsidR="009924A8" w:rsidRDefault="009924A8" w:rsidP="009924A8">
      <w:pPr>
        <w:pStyle w:val="Heading1"/>
      </w:pPr>
      <w:r w:rsidRPr="009831D6">
        <w:t xml:space="preserve">RESPONSIBILITIES </w:t>
      </w:r>
      <w:r>
        <w:t>OF IPBHS</w:t>
      </w:r>
    </w:p>
    <w:p w14:paraId="179EE214" w14:textId="77777777" w:rsidR="009924A8" w:rsidRPr="00BF46E4" w:rsidRDefault="009924A8" w:rsidP="009924A8">
      <w:r w:rsidRPr="000D0B95">
        <w:rPr>
          <w:highlight w:val="yellow"/>
        </w:rPr>
        <w:t>IPBHS</w:t>
      </w:r>
      <w:r>
        <w:t xml:space="preserve"> agrees to do the following:</w:t>
      </w:r>
    </w:p>
    <w:p w14:paraId="4553C998" w14:textId="77777777" w:rsidR="009924A8" w:rsidRDefault="009924A8" w:rsidP="009924A8">
      <w:pPr>
        <w:pStyle w:val="ListParagraph"/>
        <w:numPr>
          <w:ilvl w:val="0"/>
          <w:numId w:val="5"/>
        </w:numPr>
        <w:rPr>
          <w:highlight w:val="yellow"/>
        </w:rPr>
      </w:pPr>
      <w:r>
        <w:t xml:space="preserve">Execute any necessary documents to comply with such state and federal laws and regulations regarding confidentiality, including a business associate agreement between </w:t>
      </w:r>
      <w:r w:rsidRPr="00645094">
        <w:rPr>
          <w:highlight w:val="yellow"/>
        </w:rPr>
        <w:t>IPBHS</w:t>
      </w:r>
      <w:r>
        <w:t xml:space="preserve"> and </w:t>
      </w:r>
      <w:r w:rsidRPr="00645094">
        <w:rPr>
          <w:highlight w:val="yellow"/>
        </w:rPr>
        <w:t>OPBHS</w:t>
      </w:r>
      <w:r w:rsidRPr="3253BC46">
        <w:rPr>
          <w:highlight w:val="yellow"/>
        </w:rPr>
        <w:t>.</w:t>
      </w:r>
    </w:p>
    <w:p w14:paraId="3A69AC21" w14:textId="77777777" w:rsidR="009924A8" w:rsidRDefault="009924A8" w:rsidP="009924A8">
      <w:pPr>
        <w:pStyle w:val="ListParagraph"/>
        <w:numPr>
          <w:ilvl w:val="0"/>
          <w:numId w:val="5"/>
        </w:numPr>
        <w:rPr>
          <w:highlight w:val="yellow"/>
        </w:rPr>
      </w:pPr>
      <w:r>
        <w:rPr>
          <w:highlight w:val="yellow"/>
        </w:rPr>
        <w:t>R</w:t>
      </w:r>
      <w:r w:rsidRPr="3253BC46">
        <w:rPr>
          <w:highlight w:val="yellow"/>
        </w:rPr>
        <w:t>egularly meet with OPBHS to review the care transitions process, share data, and implement improvements as indicated.</w:t>
      </w:r>
    </w:p>
    <w:p w14:paraId="02FD34A6" w14:textId="77777777" w:rsidR="009924A8" w:rsidRPr="00D761C1" w:rsidRDefault="009924A8" w:rsidP="009924A8">
      <w:pPr>
        <w:pStyle w:val="ListParagraph"/>
        <w:numPr>
          <w:ilvl w:val="0"/>
          <w:numId w:val="5"/>
        </w:numPr>
        <w:rPr>
          <w:highlight w:val="yellow"/>
        </w:rPr>
      </w:pPr>
      <w:r w:rsidRPr="00D761C1">
        <w:rPr>
          <w:highlight w:val="yellow"/>
        </w:rPr>
        <w:t xml:space="preserve">Identify patients admitted to inpatient psychiatric and medical inpatient units </w:t>
      </w:r>
      <w:r>
        <w:rPr>
          <w:highlight w:val="yellow"/>
        </w:rPr>
        <w:t>due to</w:t>
      </w:r>
      <w:r w:rsidRPr="00D761C1">
        <w:rPr>
          <w:highlight w:val="yellow"/>
        </w:rPr>
        <w:t xml:space="preserve"> suicidal ideation or</w:t>
      </w:r>
      <w:r>
        <w:rPr>
          <w:highlight w:val="yellow"/>
        </w:rPr>
        <w:t xml:space="preserve"> a suicide</w:t>
      </w:r>
      <w:r w:rsidRPr="00D761C1">
        <w:rPr>
          <w:highlight w:val="yellow"/>
        </w:rPr>
        <w:t xml:space="preserve"> attempt </w:t>
      </w:r>
      <w:r>
        <w:rPr>
          <w:highlight w:val="yellow"/>
        </w:rPr>
        <w:t xml:space="preserve">but </w:t>
      </w:r>
      <w:r w:rsidRPr="00D761C1">
        <w:rPr>
          <w:highlight w:val="yellow"/>
        </w:rPr>
        <w:t>who are stable for discharge to an outpatient behavioral health setting.</w:t>
      </w:r>
    </w:p>
    <w:p w14:paraId="46D982CB" w14:textId="77777777" w:rsidR="009924A8" w:rsidRDefault="009924A8" w:rsidP="009924A8">
      <w:pPr>
        <w:pStyle w:val="ListParagraph"/>
        <w:numPr>
          <w:ilvl w:val="0"/>
          <w:numId w:val="5"/>
        </w:numPr>
        <w:rPr>
          <w:highlight w:val="yellow"/>
        </w:rPr>
      </w:pPr>
      <w:r w:rsidRPr="3253BC46">
        <w:rPr>
          <w:highlight w:val="yellow"/>
        </w:rPr>
        <w:t>For patients who meet the above criteria</w:t>
      </w:r>
      <w:r>
        <w:rPr>
          <w:highlight w:val="yellow"/>
        </w:rPr>
        <w:t xml:space="preserve">: </w:t>
      </w:r>
      <w:r w:rsidRPr="3253BC46">
        <w:rPr>
          <w:highlight w:val="yellow"/>
        </w:rPr>
        <w:t xml:space="preserve">to engage in a conversation with </w:t>
      </w:r>
      <w:r>
        <w:rPr>
          <w:highlight w:val="yellow"/>
        </w:rPr>
        <w:t xml:space="preserve">the </w:t>
      </w:r>
      <w:r w:rsidRPr="3253BC46">
        <w:rPr>
          <w:highlight w:val="yellow"/>
        </w:rPr>
        <w:t>patient and</w:t>
      </w:r>
      <w:r>
        <w:rPr>
          <w:highlight w:val="yellow"/>
        </w:rPr>
        <w:t xml:space="preserve"> their</w:t>
      </w:r>
      <w:r w:rsidRPr="3253BC46">
        <w:rPr>
          <w:highlight w:val="yellow"/>
        </w:rPr>
        <w:t xml:space="preserve"> family about unmet behavioral health after</w:t>
      </w:r>
      <w:r>
        <w:rPr>
          <w:highlight w:val="yellow"/>
        </w:rPr>
        <w:t xml:space="preserve"> </w:t>
      </w:r>
      <w:r w:rsidRPr="3253BC46">
        <w:rPr>
          <w:highlight w:val="yellow"/>
        </w:rPr>
        <w:t xml:space="preserve">care needs and inform them of the availability of </w:t>
      </w:r>
      <w:r>
        <w:rPr>
          <w:highlight w:val="yellow"/>
        </w:rPr>
        <w:t xml:space="preserve">behavioral health </w:t>
      </w:r>
      <w:r w:rsidRPr="3253BC46">
        <w:rPr>
          <w:highlight w:val="yellow"/>
        </w:rPr>
        <w:t>services and the follow-up program at OPBHS.</w:t>
      </w:r>
    </w:p>
    <w:p w14:paraId="217B9252" w14:textId="77777777" w:rsidR="009924A8" w:rsidRPr="00252FA4" w:rsidRDefault="009924A8" w:rsidP="009924A8">
      <w:pPr>
        <w:pStyle w:val="ListParagraph"/>
        <w:numPr>
          <w:ilvl w:val="0"/>
          <w:numId w:val="5"/>
        </w:numPr>
        <w:rPr>
          <w:highlight w:val="yellow"/>
        </w:rPr>
      </w:pPr>
      <w:r w:rsidRPr="4EE03BE2">
        <w:rPr>
          <w:highlight w:val="yellow"/>
        </w:rPr>
        <w:t xml:space="preserve">Secure a </w:t>
      </w:r>
      <w:r>
        <w:rPr>
          <w:highlight w:val="yellow"/>
        </w:rPr>
        <w:t>release of information (</w:t>
      </w:r>
      <w:r w:rsidRPr="4EE03BE2">
        <w:rPr>
          <w:highlight w:val="yellow"/>
        </w:rPr>
        <w:t>ROI</w:t>
      </w:r>
      <w:r>
        <w:t>)</w:t>
      </w:r>
      <w:r w:rsidRPr="4EE03BE2">
        <w:rPr>
          <w:highlight w:val="yellow"/>
        </w:rPr>
        <w:t>, schedule an OPBHS initial appointment, and initiate follow-up services.</w:t>
      </w:r>
    </w:p>
    <w:p w14:paraId="1CA925D7" w14:textId="77777777" w:rsidR="009924A8" w:rsidRDefault="009924A8" w:rsidP="009924A8">
      <w:pPr>
        <w:pStyle w:val="ListParagraph"/>
        <w:numPr>
          <w:ilvl w:val="0"/>
          <w:numId w:val="5"/>
        </w:numPr>
        <w:rPr>
          <w:highlight w:val="yellow"/>
        </w:rPr>
      </w:pPr>
      <w:r w:rsidRPr="435E409A">
        <w:rPr>
          <w:highlight w:val="yellow"/>
        </w:rPr>
        <w:t>Contact OPBHS to arrange a clinical consultation meeting with the OPBHS clinician for all referrals and coordinate pre-discharge planning.</w:t>
      </w:r>
    </w:p>
    <w:p w14:paraId="201D589D" w14:textId="77777777" w:rsidR="009924A8" w:rsidRDefault="009924A8" w:rsidP="009924A8">
      <w:pPr>
        <w:pStyle w:val="ListParagraph"/>
        <w:numPr>
          <w:ilvl w:val="0"/>
          <w:numId w:val="5"/>
        </w:numPr>
        <w:rPr>
          <w:highlight w:val="yellow"/>
        </w:rPr>
      </w:pPr>
      <w:r w:rsidRPr="3253BC46">
        <w:rPr>
          <w:highlight w:val="yellow"/>
        </w:rPr>
        <w:t>Introduce the patient and family to the OPBHS clinician or designee (e.g., caseworker or peer support specialist) through an in-person meeting, virtual meeting, or telephone call.</w:t>
      </w:r>
    </w:p>
    <w:p w14:paraId="20DD38A8" w14:textId="77777777" w:rsidR="009924A8" w:rsidRDefault="009924A8" w:rsidP="009924A8">
      <w:pPr>
        <w:pStyle w:val="ListParagraph"/>
        <w:numPr>
          <w:ilvl w:val="0"/>
          <w:numId w:val="5"/>
        </w:numPr>
        <w:rPr>
          <w:highlight w:val="yellow"/>
        </w:rPr>
      </w:pPr>
      <w:r w:rsidRPr="00D761C1">
        <w:rPr>
          <w:highlight w:val="yellow"/>
        </w:rPr>
        <w:t>Call the OPBHS intake line to provide a verbal hand</w:t>
      </w:r>
      <w:r>
        <w:rPr>
          <w:highlight w:val="yellow"/>
        </w:rPr>
        <w:t>-</w:t>
      </w:r>
      <w:r w:rsidRPr="00D761C1">
        <w:rPr>
          <w:highlight w:val="yellow"/>
        </w:rPr>
        <w:t xml:space="preserve">off report on the day of </w:t>
      </w:r>
      <w:r>
        <w:rPr>
          <w:highlight w:val="yellow"/>
        </w:rPr>
        <w:t xml:space="preserve">the </w:t>
      </w:r>
      <w:r w:rsidRPr="00D761C1">
        <w:rPr>
          <w:highlight w:val="yellow"/>
        </w:rPr>
        <w:t>patient</w:t>
      </w:r>
      <w:r>
        <w:rPr>
          <w:highlight w:val="yellow"/>
        </w:rPr>
        <w:t>'</w:t>
      </w:r>
      <w:r w:rsidRPr="00D761C1">
        <w:rPr>
          <w:highlight w:val="yellow"/>
        </w:rPr>
        <w:t>s discharge</w:t>
      </w:r>
      <w:r>
        <w:rPr>
          <w:highlight w:val="yellow"/>
        </w:rPr>
        <w:t>.</w:t>
      </w:r>
    </w:p>
    <w:p w14:paraId="61D352A8" w14:textId="77777777" w:rsidR="009924A8" w:rsidRDefault="009924A8" w:rsidP="009924A8">
      <w:pPr>
        <w:pStyle w:val="ListParagraph"/>
        <w:numPr>
          <w:ilvl w:val="0"/>
          <w:numId w:val="5"/>
        </w:numPr>
        <w:rPr>
          <w:highlight w:val="yellow"/>
        </w:rPr>
      </w:pPr>
      <w:r>
        <w:rPr>
          <w:highlight w:val="yellow"/>
        </w:rPr>
        <w:lastRenderedPageBreak/>
        <w:t xml:space="preserve">Send available medical records (e.g., collaborative patient safety plan, medication list, discharge plan, psychosocial history, warm hand-off communication) to OPBHS on the day of discharge.  </w:t>
      </w:r>
    </w:p>
    <w:p w14:paraId="0316D7C5" w14:textId="77777777" w:rsidR="009924A8" w:rsidRDefault="009924A8" w:rsidP="009924A8">
      <w:pPr>
        <w:pStyle w:val="ListParagraph"/>
        <w:numPr>
          <w:ilvl w:val="0"/>
          <w:numId w:val="5"/>
        </w:numPr>
        <w:rPr>
          <w:highlight w:val="yellow"/>
        </w:rPr>
      </w:pPr>
      <w:r>
        <w:rPr>
          <w:highlight w:val="yellow"/>
        </w:rPr>
        <w:t>Send any remaining records (e.g., discharge summary) within 3 business days or before the first appointment, whichever occurs first.</w:t>
      </w:r>
    </w:p>
    <w:p w14:paraId="1E6040CA" w14:textId="77777777" w:rsidR="009924A8" w:rsidRDefault="009924A8" w:rsidP="009924A8">
      <w:pPr>
        <w:pStyle w:val="ListParagraph"/>
        <w:numPr>
          <w:ilvl w:val="0"/>
          <w:numId w:val="5"/>
        </w:numPr>
        <w:rPr>
          <w:highlight w:val="yellow"/>
        </w:rPr>
      </w:pPr>
      <w:r>
        <w:rPr>
          <w:highlight w:val="yellow"/>
        </w:rPr>
        <w:t>Conduct a follow-up call to the patient and family within 24 hours of discharge to express care, encourage attendance at OPBHS first appointment, and assess and brainstorm solutions to potential barriers.</w:t>
      </w:r>
    </w:p>
    <w:p w14:paraId="6DA23CE8" w14:textId="77777777" w:rsidR="009924A8" w:rsidRPr="00D761C1" w:rsidRDefault="009924A8" w:rsidP="009924A8">
      <w:pPr>
        <w:pStyle w:val="ListParagraph"/>
        <w:numPr>
          <w:ilvl w:val="0"/>
          <w:numId w:val="5"/>
        </w:numPr>
        <w:rPr>
          <w:highlight w:val="yellow"/>
        </w:rPr>
      </w:pPr>
      <w:r>
        <w:rPr>
          <w:highlight w:val="yellow"/>
        </w:rPr>
        <w:t>Provide caring contacts (e.g., card, letter, or text) to the patient within 48 hours of discharge, within one week, and on a scheduled basis for 9–12 months.</w:t>
      </w:r>
    </w:p>
    <w:p w14:paraId="0407719E" w14:textId="77777777" w:rsidR="009924A8" w:rsidRPr="00CC0398" w:rsidRDefault="009924A8" w:rsidP="009924A8">
      <w:pPr>
        <w:pStyle w:val="ListParagraph"/>
        <w:numPr>
          <w:ilvl w:val="0"/>
          <w:numId w:val="5"/>
        </w:numPr>
        <w:rPr>
          <w:b/>
          <w:bCs/>
          <w:highlight w:val="yellow"/>
        </w:rPr>
      </w:pPr>
      <w:r w:rsidRPr="00D761C1">
        <w:rPr>
          <w:highlight w:val="yellow"/>
        </w:rPr>
        <w:t xml:space="preserve">Track the number of eligible </w:t>
      </w:r>
      <w:r>
        <w:rPr>
          <w:highlight w:val="yellow"/>
        </w:rPr>
        <w:t xml:space="preserve">and completed </w:t>
      </w:r>
      <w:r w:rsidRPr="00D761C1">
        <w:rPr>
          <w:highlight w:val="yellow"/>
        </w:rPr>
        <w:t>patient referrals</w:t>
      </w:r>
      <w:r>
        <w:rPr>
          <w:highlight w:val="yellow"/>
        </w:rPr>
        <w:t xml:space="preserve"> to OPBHS.</w:t>
      </w:r>
    </w:p>
    <w:p w14:paraId="2C9E6C14" w14:textId="77777777" w:rsidR="009924A8" w:rsidRPr="00CC0398" w:rsidRDefault="009924A8" w:rsidP="009924A8">
      <w:pPr>
        <w:pStyle w:val="ListParagraph"/>
        <w:numPr>
          <w:ilvl w:val="0"/>
          <w:numId w:val="5"/>
        </w:numPr>
        <w:rPr>
          <w:b/>
          <w:bCs/>
          <w:highlight w:val="yellow"/>
        </w:rPr>
      </w:pPr>
      <w:r>
        <w:rPr>
          <w:highlight w:val="yellow"/>
        </w:rPr>
        <w:t>Track the number of discharge follow-up calls and delivery of caring contacts.</w:t>
      </w:r>
    </w:p>
    <w:p w14:paraId="54A4FF26" w14:textId="77777777" w:rsidR="009924A8" w:rsidRPr="002D0530" w:rsidRDefault="009924A8" w:rsidP="009924A8">
      <w:pPr>
        <w:pStyle w:val="ListParagraph"/>
        <w:numPr>
          <w:ilvl w:val="0"/>
          <w:numId w:val="5"/>
        </w:numPr>
        <w:rPr>
          <w:b/>
          <w:bCs/>
          <w:highlight w:val="yellow"/>
        </w:rPr>
      </w:pPr>
      <w:r>
        <w:rPr>
          <w:highlight w:val="yellow"/>
        </w:rPr>
        <w:t>Track the number of emergency department return visits, re-admissions, and suicide deaths</w:t>
      </w:r>
    </w:p>
    <w:p w14:paraId="3B94DC1C" w14:textId="57C93E85" w:rsidR="009924A8" w:rsidRPr="009924A8" w:rsidRDefault="009924A8" w:rsidP="009924A8">
      <w:pPr>
        <w:pStyle w:val="ListParagraph"/>
        <w:numPr>
          <w:ilvl w:val="0"/>
          <w:numId w:val="5"/>
        </w:numPr>
        <w:rPr>
          <w:b/>
          <w:bCs/>
          <w:highlight w:val="yellow"/>
        </w:rPr>
      </w:pPr>
      <w:r>
        <w:rPr>
          <w:highlight w:val="yellow"/>
        </w:rPr>
        <w:t>Track other data as mutually agreed upon with OPBHS.</w:t>
      </w:r>
    </w:p>
    <w:p w14:paraId="58CCF1B7" w14:textId="77777777" w:rsidR="009924A8" w:rsidRDefault="009924A8" w:rsidP="009924A8">
      <w:pPr>
        <w:pStyle w:val="Heading1"/>
      </w:pPr>
      <w:r w:rsidRPr="009831D6">
        <w:t>RESPONSIBILITIES</w:t>
      </w:r>
      <w:r>
        <w:t xml:space="preserve"> OF OPBHS</w:t>
      </w:r>
    </w:p>
    <w:p w14:paraId="4961E7A0" w14:textId="77777777" w:rsidR="009924A8" w:rsidRDefault="009924A8" w:rsidP="009924A8">
      <w:r>
        <w:t xml:space="preserve">Upon receipt of a business </w:t>
      </w:r>
      <w:proofErr w:type="gramStart"/>
      <w:r>
        <w:t>associates</w:t>
      </w:r>
      <w:proofErr w:type="gramEnd"/>
      <w:r>
        <w:t xml:space="preserve"> agreement or a signed release of information, </w:t>
      </w:r>
      <w:r w:rsidRPr="000D0B95">
        <w:rPr>
          <w:highlight w:val="yellow"/>
        </w:rPr>
        <w:t>OPBHS</w:t>
      </w:r>
      <w:r>
        <w:t xml:space="preserve"> agrees to do the following:</w:t>
      </w:r>
    </w:p>
    <w:p w14:paraId="4BFFBF6A" w14:textId="77777777" w:rsidR="009924A8" w:rsidRDefault="009924A8" w:rsidP="009924A8">
      <w:pPr>
        <w:pStyle w:val="ListParagraph"/>
        <w:numPr>
          <w:ilvl w:val="0"/>
          <w:numId w:val="3"/>
        </w:numPr>
        <w:rPr>
          <w:highlight w:val="yellow"/>
        </w:rPr>
      </w:pPr>
      <w:r>
        <w:t xml:space="preserve">Execute any necessary documents to comply with such state and federal laws and regulations regarding confidentiality, including a Business Associate Agreement between </w:t>
      </w:r>
      <w:r w:rsidRPr="00645094">
        <w:rPr>
          <w:highlight w:val="yellow"/>
        </w:rPr>
        <w:t>IPBHS</w:t>
      </w:r>
      <w:r>
        <w:t xml:space="preserve"> and </w:t>
      </w:r>
      <w:r w:rsidRPr="00645094">
        <w:rPr>
          <w:highlight w:val="yellow"/>
        </w:rPr>
        <w:t>OPBHS</w:t>
      </w:r>
      <w:r w:rsidRPr="3253BC46">
        <w:rPr>
          <w:highlight w:val="yellow"/>
        </w:rPr>
        <w:t>.</w:t>
      </w:r>
    </w:p>
    <w:p w14:paraId="2D5F1AA1" w14:textId="77777777" w:rsidR="009924A8" w:rsidRDefault="009924A8" w:rsidP="009924A8">
      <w:pPr>
        <w:pStyle w:val="ListParagraph"/>
        <w:numPr>
          <w:ilvl w:val="0"/>
          <w:numId w:val="3"/>
        </w:numPr>
        <w:rPr>
          <w:highlight w:val="yellow"/>
        </w:rPr>
      </w:pPr>
      <w:r>
        <w:rPr>
          <w:highlight w:val="yellow"/>
        </w:rPr>
        <w:t>R</w:t>
      </w:r>
      <w:r w:rsidRPr="3253BC46">
        <w:rPr>
          <w:highlight w:val="yellow"/>
        </w:rPr>
        <w:t>egularly meet with IPBHS to review the care transitions process, share data, and implement improvements as indicated.</w:t>
      </w:r>
    </w:p>
    <w:p w14:paraId="348D5327" w14:textId="77777777" w:rsidR="009924A8" w:rsidRDefault="009924A8" w:rsidP="009924A8">
      <w:pPr>
        <w:pStyle w:val="ListParagraph"/>
        <w:numPr>
          <w:ilvl w:val="0"/>
          <w:numId w:val="3"/>
        </w:numPr>
        <w:rPr>
          <w:highlight w:val="yellow"/>
        </w:rPr>
      </w:pPr>
      <w:r>
        <w:rPr>
          <w:highlight w:val="yellow"/>
        </w:rPr>
        <w:t>Cooperate with IPBHS and arrange a clinical consultation meeting between the IPBHS clinician and the OPBHS clinician to discuss client history, care needs, and community resources for client and family support.</w:t>
      </w:r>
    </w:p>
    <w:p w14:paraId="2CBBCFA4" w14:textId="77777777" w:rsidR="009924A8" w:rsidRDefault="009924A8" w:rsidP="009924A8">
      <w:pPr>
        <w:pStyle w:val="ListParagraph"/>
        <w:numPr>
          <w:ilvl w:val="0"/>
          <w:numId w:val="3"/>
        </w:numPr>
        <w:rPr>
          <w:highlight w:val="yellow"/>
        </w:rPr>
      </w:pPr>
      <w:r w:rsidRPr="3253BC46">
        <w:rPr>
          <w:highlight w:val="yellow"/>
        </w:rPr>
        <w:t>Arrange for the OPBHS clinician or designee (e.g., caseworker or peer support specialist) to meet the client and family through an in-person meeting, virtual meeting, or telephone call before discharge.</w:t>
      </w:r>
    </w:p>
    <w:p w14:paraId="3C19A391" w14:textId="77777777" w:rsidR="009924A8" w:rsidRPr="00CC0398" w:rsidRDefault="009924A8" w:rsidP="009924A8">
      <w:pPr>
        <w:pStyle w:val="ListParagraph"/>
        <w:numPr>
          <w:ilvl w:val="0"/>
          <w:numId w:val="3"/>
        </w:numPr>
        <w:rPr>
          <w:highlight w:val="yellow"/>
        </w:rPr>
      </w:pPr>
      <w:r>
        <w:rPr>
          <w:highlight w:val="yellow"/>
        </w:rPr>
        <w:t>S</w:t>
      </w:r>
      <w:r w:rsidRPr="00252FA4">
        <w:rPr>
          <w:highlight w:val="yellow"/>
        </w:rPr>
        <w:t>ecure a</w:t>
      </w:r>
      <w:r>
        <w:rPr>
          <w:highlight w:val="yellow"/>
        </w:rPr>
        <w:t xml:space="preserve"> </w:t>
      </w:r>
      <w:r w:rsidRPr="00252FA4">
        <w:rPr>
          <w:highlight w:val="yellow"/>
        </w:rPr>
        <w:t xml:space="preserve">referral appointment </w:t>
      </w:r>
      <w:r>
        <w:rPr>
          <w:highlight w:val="yellow"/>
        </w:rPr>
        <w:t xml:space="preserve">within 3 days post-discharge (but no later than 7 days), arrange for </w:t>
      </w:r>
      <w:r w:rsidRPr="00252FA4">
        <w:rPr>
          <w:highlight w:val="yellow"/>
        </w:rPr>
        <w:t>follow-up services</w:t>
      </w:r>
      <w:r>
        <w:rPr>
          <w:highlight w:val="yellow"/>
        </w:rPr>
        <w:t>, and request medical records.</w:t>
      </w:r>
    </w:p>
    <w:p w14:paraId="3EA4B51D" w14:textId="77777777" w:rsidR="009924A8" w:rsidRDefault="009924A8" w:rsidP="009924A8">
      <w:pPr>
        <w:pStyle w:val="ListParagraph"/>
        <w:numPr>
          <w:ilvl w:val="0"/>
          <w:numId w:val="3"/>
        </w:numPr>
        <w:rPr>
          <w:highlight w:val="yellow"/>
        </w:rPr>
      </w:pPr>
      <w:r>
        <w:rPr>
          <w:highlight w:val="yellow"/>
        </w:rPr>
        <w:t>Receive</w:t>
      </w:r>
      <w:r w:rsidRPr="00D761C1">
        <w:rPr>
          <w:highlight w:val="yellow"/>
        </w:rPr>
        <w:t xml:space="preserve"> a verbal hand</w:t>
      </w:r>
      <w:r>
        <w:rPr>
          <w:highlight w:val="yellow"/>
        </w:rPr>
        <w:t>-</w:t>
      </w:r>
      <w:r w:rsidRPr="00D761C1">
        <w:rPr>
          <w:highlight w:val="yellow"/>
        </w:rPr>
        <w:t>off report</w:t>
      </w:r>
      <w:r>
        <w:rPr>
          <w:highlight w:val="yellow"/>
        </w:rPr>
        <w:t xml:space="preserve"> and essential medical records</w:t>
      </w:r>
      <w:r w:rsidRPr="00D761C1">
        <w:rPr>
          <w:highlight w:val="yellow"/>
        </w:rPr>
        <w:t xml:space="preserve"> on the day of </w:t>
      </w:r>
      <w:r>
        <w:rPr>
          <w:highlight w:val="yellow"/>
        </w:rPr>
        <w:t>the client'</w:t>
      </w:r>
      <w:r w:rsidRPr="00D761C1">
        <w:rPr>
          <w:highlight w:val="yellow"/>
        </w:rPr>
        <w:t>s discharge</w:t>
      </w:r>
      <w:r>
        <w:rPr>
          <w:highlight w:val="yellow"/>
        </w:rPr>
        <w:t>.</w:t>
      </w:r>
    </w:p>
    <w:p w14:paraId="4FC4DF4B" w14:textId="77777777" w:rsidR="009924A8" w:rsidRDefault="009924A8" w:rsidP="009924A8">
      <w:pPr>
        <w:pStyle w:val="ListParagraph"/>
        <w:numPr>
          <w:ilvl w:val="0"/>
          <w:numId w:val="3"/>
        </w:numPr>
        <w:rPr>
          <w:highlight w:val="yellow"/>
        </w:rPr>
      </w:pPr>
      <w:r w:rsidRPr="00BF46E4">
        <w:rPr>
          <w:highlight w:val="yellow"/>
        </w:rPr>
        <w:t>Initiate a</w:t>
      </w:r>
      <w:r>
        <w:rPr>
          <w:highlight w:val="yellow"/>
        </w:rPr>
        <w:t>n outreach</w:t>
      </w:r>
      <w:r w:rsidRPr="00BF46E4">
        <w:rPr>
          <w:highlight w:val="yellow"/>
        </w:rPr>
        <w:t xml:space="preserve"> call with the client or guardian within </w:t>
      </w:r>
      <w:r>
        <w:rPr>
          <w:highlight w:val="yellow"/>
        </w:rPr>
        <w:t>2</w:t>
      </w:r>
      <w:r w:rsidRPr="00BF46E4">
        <w:rPr>
          <w:highlight w:val="yellow"/>
        </w:rPr>
        <w:t>4</w:t>
      </w:r>
      <w:r>
        <w:rPr>
          <w:highlight w:val="yellow"/>
        </w:rPr>
        <w:t>–72</w:t>
      </w:r>
      <w:r w:rsidRPr="00BF46E4">
        <w:rPr>
          <w:highlight w:val="yellow"/>
        </w:rPr>
        <w:t xml:space="preserve"> hours of discharge</w:t>
      </w:r>
      <w:r>
        <w:rPr>
          <w:highlight w:val="yellow"/>
        </w:rPr>
        <w:t xml:space="preserve"> (in coordination with IPBHS):</w:t>
      </w:r>
    </w:p>
    <w:p w14:paraId="4EB71E35" w14:textId="77777777" w:rsidR="009924A8" w:rsidRPr="00CC0398" w:rsidRDefault="009924A8" w:rsidP="009924A8">
      <w:pPr>
        <w:pStyle w:val="ListParagraph"/>
        <w:numPr>
          <w:ilvl w:val="1"/>
          <w:numId w:val="3"/>
        </w:numPr>
        <w:rPr>
          <w:highlight w:val="yellow"/>
        </w:rPr>
      </w:pPr>
      <w:r w:rsidRPr="00CC0398">
        <w:rPr>
          <w:highlight w:val="yellow"/>
        </w:rPr>
        <w:t>Confirm appointment date and time</w:t>
      </w:r>
      <w:r>
        <w:rPr>
          <w:highlight w:val="yellow"/>
        </w:rPr>
        <w:t xml:space="preserve"> and e</w:t>
      </w:r>
      <w:r w:rsidRPr="00CC0398">
        <w:rPr>
          <w:highlight w:val="yellow"/>
        </w:rPr>
        <w:t>ncourage family participation</w:t>
      </w:r>
      <w:r>
        <w:rPr>
          <w:highlight w:val="yellow"/>
        </w:rPr>
        <w:t>.</w:t>
      </w:r>
    </w:p>
    <w:p w14:paraId="620EA88D" w14:textId="77777777" w:rsidR="009924A8" w:rsidRPr="00CC0398" w:rsidRDefault="009924A8" w:rsidP="009924A8">
      <w:pPr>
        <w:pStyle w:val="ListParagraph"/>
        <w:numPr>
          <w:ilvl w:val="1"/>
          <w:numId w:val="3"/>
        </w:numPr>
        <w:rPr>
          <w:highlight w:val="yellow"/>
        </w:rPr>
      </w:pPr>
      <w:r>
        <w:rPr>
          <w:highlight w:val="yellow"/>
        </w:rPr>
        <w:t>Assess and problem-solve any barriers to attending the appointment.</w:t>
      </w:r>
    </w:p>
    <w:p w14:paraId="67650622" w14:textId="77777777" w:rsidR="009924A8" w:rsidRDefault="009924A8" w:rsidP="009924A8">
      <w:pPr>
        <w:pStyle w:val="ListParagraph"/>
        <w:numPr>
          <w:ilvl w:val="1"/>
          <w:numId w:val="3"/>
        </w:numPr>
        <w:rPr>
          <w:highlight w:val="yellow"/>
        </w:rPr>
      </w:pPr>
      <w:r w:rsidRPr="00CC0398">
        <w:rPr>
          <w:highlight w:val="yellow"/>
        </w:rPr>
        <w:t>Reassess risk for suicide using the standardized risk assessment: ___________.</w:t>
      </w:r>
    </w:p>
    <w:p w14:paraId="29A9292F" w14:textId="77777777" w:rsidR="009924A8" w:rsidRPr="00CC0398" w:rsidRDefault="009924A8" w:rsidP="009924A8">
      <w:pPr>
        <w:pStyle w:val="ListParagraph"/>
        <w:numPr>
          <w:ilvl w:val="1"/>
          <w:numId w:val="3"/>
        </w:numPr>
        <w:rPr>
          <w:highlight w:val="yellow"/>
        </w:rPr>
      </w:pPr>
      <w:r w:rsidRPr="00CC0398">
        <w:rPr>
          <w:highlight w:val="yellow"/>
        </w:rPr>
        <w:t>Review the collaborative safety plan and make revisions or updates with the client or guardian, including lethal means safety counseling</w:t>
      </w:r>
      <w:r>
        <w:rPr>
          <w:highlight w:val="yellow"/>
        </w:rPr>
        <w:t>.</w:t>
      </w:r>
    </w:p>
    <w:p w14:paraId="599DB9F4" w14:textId="77777777" w:rsidR="009924A8" w:rsidRPr="00B2361F" w:rsidRDefault="009924A8" w:rsidP="009924A8">
      <w:pPr>
        <w:pStyle w:val="ListParagraph"/>
        <w:numPr>
          <w:ilvl w:val="0"/>
          <w:numId w:val="3"/>
        </w:numPr>
        <w:rPr>
          <w:highlight w:val="green"/>
        </w:rPr>
      </w:pPr>
      <w:r w:rsidRPr="3253BC46">
        <w:rPr>
          <w:highlight w:val="green"/>
        </w:rPr>
        <w:t>Continue outreach phone contacts with the individual until the first appointment at OPBHS is completed</w:t>
      </w:r>
      <w:r>
        <w:rPr>
          <w:highlight w:val="green"/>
        </w:rPr>
        <w:t>:</w:t>
      </w:r>
    </w:p>
    <w:p w14:paraId="12F3A33B" w14:textId="77777777" w:rsidR="009924A8" w:rsidRPr="00B2361F" w:rsidRDefault="009924A8" w:rsidP="009924A8">
      <w:pPr>
        <w:pStyle w:val="ListParagraph"/>
        <w:numPr>
          <w:ilvl w:val="1"/>
          <w:numId w:val="3"/>
        </w:numPr>
        <w:rPr>
          <w:highlight w:val="green"/>
        </w:rPr>
      </w:pPr>
      <w:r w:rsidRPr="3253BC46">
        <w:rPr>
          <w:highlight w:val="green"/>
        </w:rPr>
        <w:t xml:space="preserve">Phone support to be provided </w:t>
      </w:r>
      <w:r>
        <w:rPr>
          <w:highlight w:val="green"/>
        </w:rPr>
        <w:t xml:space="preserve">weekly, </w:t>
      </w:r>
      <w:r w:rsidRPr="3253BC46">
        <w:rPr>
          <w:highlight w:val="green"/>
        </w:rPr>
        <w:t>at a minimum</w:t>
      </w:r>
      <w:r>
        <w:rPr>
          <w:highlight w:val="green"/>
        </w:rPr>
        <w:t>,</w:t>
      </w:r>
      <w:r w:rsidRPr="3253BC46">
        <w:rPr>
          <w:highlight w:val="green"/>
        </w:rPr>
        <w:t xml:space="preserve"> at scheduled times until</w:t>
      </w:r>
      <w:r>
        <w:rPr>
          <w:highlight w:val="green"/>
        </w:rPr>
        <w:t xml:space="preserve"> the following</w:t>
      </w:r>
      <w:r w:rsidRPr="3253BC46">
        <w:rPr>
          <w:highlight w:val="green"/>
        </w:rPr>
        <w:t xml:space="preserve">: </w:t>
      </w:r>
    </w:p>
    <w:p w14:paraId="27C9BCE4" w14:textId="77777777" w:rsidR="009924A8" w:rsidRPr="00B2361F" w:rsidRDefault="009924A8" w:rsidP="009924A8">
      <w:pPr>
        <w:pStyle w:val="ListParagraph"/>
        <w:numPr>
          <w:ilvl w:val="2"/>
          <w:numId w:val="3"/>
        </w:numPr>
        <w:rPr>
          <w:highlight w:val="green"/>
        </w:rPr>
      </w:pPr>
      <w:r>
        <w:rPr>
          <w:highlight w:val="green"/>
        </w:rPr>
        <w:t>The i</w:t>
      </w:r>
      <w:r w:rsidRPr="00B2361F">
        <w:rPr>
          <w:highlight w:val="green"/>
        </w:rPr>
        <w:t>ndividual completes</w:t>
      </w:r>
      <w:r>
        <w:rPr>
          <w:highlight w:val="green"/>
        </w:rPr>
        <w:t xml:space="preserve"> the</w:t>
      </w:r>
      <w:r w:rsidRPr="00B2361F">
        <w:rPr>
          <w:highlight w:val="green"/>
        </w:rPr>
        <w:t xml:space="preserve"> first outpatient appt.</w:t>
      </w:r>
    </w:p>
    <w:p w14:paraId="016041FC" w14:textId="77777777" w:rsidR="009924A8" w:rsidRDefault="009924A8" w:rsidP="009924A8">
      <w:pPr>
        <w:pStyle w:val="ListParagraph"/>
        <w:numPr>
          <w:ilvl w:val="2"/>
          <w:numId w:val="3"/>
        </w:numPr>
        <w:rPr>
          <w:highlight w:val="green"/>
        </w:rPr>
      </w:pPr>
      <w:r>
        <w:rPr>
          <w:highlight w:val="green"/>
        </w:rPr>
        <w:t>The i</w:t>
      </w:r>
      <w:r w:rsidRPr="00B2361F">
        <w:rPr>
          <w:highlight w:val="green"/>
        </w:rPr>
        <w:t>ndividual withdraws consent or requests to be dis</w:t>
      </w:r>
      <w:r>
        <w:rPr>
          <w:highlight w:val="green"/>
        </w:rPr>
        <w:t>-</w:t>
      </w:r>
      <w:r w:rsidRPr="00B2361F">
        <w:rPr>
          <w:highlight w:val="green"/>
        </w:rPr>
        <w:t>enrolled from follow-up care at OPBHS.</w:t>
      </w:r>
    </w:p>
    <w:p w14:paraId="64D01B24" w14:textId="77777777" w:rsidR="009924A8" w:rsidRPr="00CC0398" w:rsidRDefault="009924A8" w:rsidP="009924A8">
      <w:pPr>
        <w:pStyle w:val="ListParagraph"/>
        <w:numPr>
          <w:ilvl w:val="1"/>
          <w:numId w:val="3"/>
        </w:numPr>
        <w:rPr>
          <w:highlight w:val="green"/>
        </w:rPr>
      </w:pPr>
      <w:r w:rsidRPr="00CC0398">
        <w:rPr>
          <w:highlight w:val="green"/>
        </w:rPr>
        <w:t>If OPBHS staff is unable to reach the client</w:t>
      </w:r>
      <w:r>
        <w:rPr>
          <w:highlight w:val="green"/>
        </w:rPr>
        <w:t>, they will do the following:</w:t>
      </w:r>
    </w:p>
    <w:p w14:paraId="1EAE0F92" w14:textId="77777777" w:rsidR="009924A8" w:rsidRPr="00CC0398" w:rsidRDefault="009924A8" w:rsidP="009924A8">
      <w:pPr>
        <w:pStyle w:val="ListParagraph"/>
        <w:numPr>
          <w:ilvl w:val="0"/>
          <w:numId w:val="8"/>
        </w:numPr>
        <w:rPr>
          <w:highlight w:val="green"/>
        </w:rPr>
      </w:pPr>
      <w:r w:rsidRPr="00CC0398">
        <w:rPr>
          <w:highlight w:val="green"/>
        </w:rPr>
        <w:t>Repeat outreach attempt the same day</w:t>
      </w:r>
      <w:r>
        <w:rPr>
          <w:highlight w:val="green"/>
        </w:rPr>
        <w:t>.</w:t>
      </w:r>
    </w:p>
    <w:p w14:paraId="16980AAA" w14:textId="77777777" w:rsidR="009924A8" w:rsidRPr="00CC0398" w:rsidRDefault="009924A8" w:rsidP="009924A8">
      <w:pPr>
        <w:pStyle w:val="ListParagraph"/>
        <w:numPr>
          <w:ilvl w:val="0"/>
          <w:numId w:val="8"/>
        </w:numPr>
        <w:rPr>
          <w:highlight w:val="green"/>
        </w:rPr>
      </w:pPr>
      <w:r w:rsidRPr="00CC0398">
        <w:rPr>
          <w:highlight w:val="green"/>
        </w:rPr>
        <w:t xml:space="preserve">Contact IPBHS regarding inability to reach the </w:t>
      </w:r>
      <w:r>
        <w:rPr>
          <w:highlight w:val="green"/>
        </w:rPr>
        <w:t>client</w:t>
      </w:r>
      <w:r w:rsidRPr="00CC0398">
        <w:rPr>
          <w:highlight w:val="green"/>
        </w:rPr>
        <w:t xml:space="preserve"> and problem-solve</w:t>
      </w:r>
      <w:r>
        <w:rPr>
          <w:highlight w:val="green"/>
        </w:rPr>
        <w:t>.</w:t>
      </w:r>
    </w:p>
    <w:p w14:paraId="61DDDF31" w14:textId="77777777" w:rsidR="009924A8" w:rsidRPr="00CC0398" w:rsidRDefault="009924A8" w:rsidP="009924A8">
      <w:pPr>
        <w:pStyle w:val="ListParagraph"/>
        <w:numPr>
          <w:ilvl w:val="0"/>
          <w:numId w:val="8"/>
        </w:numPr>
        <w:rPr>
          <w:highlight w:val="green"/>
        </w:rPr>
      </w:pPr>
      <w:r w:rsidRPr="00CC0398">
        <w:rPr>
          <w:highlight w:val="green"/>
        </w:rPr>
        <w:t xml:space="preserve">Coordinate with IPBHS crisis response protocol for </w:t>
      </w:r>
      <w:r>
        <w:rPr>
          <w:highlight w:val="green"/>
        </w:rPr>
        <w:t>client</w:t>
      </w:r>
      <w:r w:rsidRPr="00CC0398">
        <w:rPr>
          <w:highlight w:val="green"/>
        </w:rPr>
        <w:t>s with identified suicide risk</w:t>
      </w:r>
      <w:r>
        <w:rPr>
          <w:highlight w:val="green"/>
        </w:rPr>
        <w:t xml:space="preserve"> (</w:t>
      </w:r>
      <w:r w:rsidRPr="00CC0398">
        <w:rPr>
          <w:highlight w:val="green"/>
        </w:rPr>
        <w:t>e.g., call emergency contacts, utilize mobile crisis outreach team</w:t>
      </w:r>
      <w:r>
        <w:rPr>
          <w:highlight w:val="green"/>
        </w:rPr>
        <w:t>).</w:t>
      </w:r>
    </w:p>
    <w:p w14:paraId="17C846ED" w14:textId="77777777" w:rsidR="009924A8" w:rsidRPr="00CC0398" w:rsidRDefault="009924A8" w:rsidP="009924A8">
      <w:pPr>
        <w:pStyle w:val="ListParagraph"/>
        <w:numPr>
          <w:ilvl w:val="0"/>
          <w:numId w:val="3"/>
        </w:numPr>
        <w:rPr>
          <w:b/>
          <w:bCs/>
          <w:highlight w:val="yellow"/>
        </w:rPr>
      </w:pPr>
      <w:r w:rsidRPr="00D761C1">
        <w:rPr>
          <w:highlight w:val="yellow"/>
        </w:rPr>
        <w:lastRenderedPageBreak/>
        <w:t xml:space="preserve">Track the number of eligible </w:t>
      </w:r>
      <w:r>
        <w:rPr>
          <w:highlight w:val="yellow"/>
        </w:rPr>
        <w:t>client</w:t>
      </w:r>
      <w:r w:rsidRPr="00D761C1">
        <w:rPr>
          <w:highlight w:val="yellow"/>
        </w:rPr>
        <w:t xml:space="preserve"> referrals</w:t>
      </w:r>
      <w:r>
        <w:rPr>
          <w:highlight w:val="yellow"/>
        </w:rPr>
        <w:t xml:space="preserve">, </w:t>
      </w:r>
      <w:r w:rsidRPr="00D761C1">
        <w:rPr>
          <w:highlight w:val="yellow"/>
        </w:rPr>
        <w:t xml:space="preserve">completed </w:t>
      </w:r>
      <w:r>
        <w:rPr>
          <w:highlight w:val="yellow"/>
        </w:rPr>
        <w:t>client</w:t>
      </w:r>
      <w:r w:rsidRPr="00D761C1">
        <w:rPr>
          <w:highlight w:val="yellow"/>
        </w:rPr>
        <w:t xml:space="preserve"> referrals</w:t>
      </w:r>
      <w:r>
        <w:rPr>
          <w:highlight w:val="yellow"/>
        </w:rPr>
        <w:t>, and follow-up service contacts</w:t>
      </w:r>
      <w:r w:rsidRPr="00D761C1">
        <w:rPr>
          <w:highlight w:val="yellow"/>
        </w:rPr>
        <w:t xml:space="preserve"> for quarterly reporting with </w:t>
      </w:r>
      <w:r>
        <w:rPr>
          <w:highlight w:val="yellow"/>
        </w:rPr>
        <w:t>I</w:t>
      </w:r>
      <w:r w:rsidRPr="00D761C1">
        <w:rPr>
          <w:highlight w:val="yellow"/>
        </w:rPr>
        <w:t>PBHS related to their mutual suicide-specific care efforts</w:t>
      </w:r>
      <w:r>
        <w:rPr>
          <w:highlight w:val="yellow"/>
        </w:rPr>
        <w:t>.</w:t>
      </w:r>
    </w:p>
    <w:p w14:paraId="7955A9B1" w14:textId="77777777" w:rsidR="009924A8" w:rsidRPr="00CC0398" w:rsidRDefault="009924A8" w:rsidP="009924A8">
      <w:pPr>
        <w:pStyle w:val="ListParagraph"/>
        <w:numPr>
          <w:ilvl w:val="0"/>
          <w:numId w:val="3"/>
        </w:numPr>
        <w:rPr>
          <w:b/>
          <w:bCs/>
          <w:highlight w:val="yellow"/>
        </w:rPr>
      </w:pPr>
      <w:r w:rsidRPr="00D761C1">
        <w:rPr>
          <w:highlight w:val="yellow"/>
        </w:rPr>
        <w:t xml:space="preserve">Track the number of eligible </w:t>
      </w:r>
      <w:r>
        <w:rPr>
          <w:highlight w:val="yellow"/>
        </w:rPr>
        <w:t>and completed client</w:t>
      </w:r>
      <w:r w:rsidRPr="00D761C1">
        <w:rPr>
          <w:highlight w:val="yellow"/>
        </w:rPr>
        <w:t xml:space="preserve"> referrals</w:t>
      </w:r>
      <w:r>
        <w:rPr>
          <w:highlight w:val="yellow"/>
        </w:rPr>
        <w:t xml:space="preserve"> to OPBHS.</w:t>
      </w:r>
    </w:p>
    <w:p w14:paraId="665BE2F6" w14:textId="77777777" w:rsidR="009924A8" w:rsidRPr="00CC0398" w:rsidRDefault="009924A8" w:rsidP="009924A8">
      <w:pPr>
        <w:pStyle w:val="ListParagraph"/>
        <w:numPr>
          <w:ilvl w:val="0"/>
          <w:numId w:val="3"/>
        </w:numPr>
        <w:rPr>
          <w:b/>
          <w:bCs/>
          <w:highlight w:val="yellow"/>
        </w:rPr>
      </w:pPr>
      <w:r>
        <w:rPr>
          <w:highlight w:val="yellow"/>
        </w:rPr>
        <w:t>Track the care transitions gap (i.e., days between IPBHS discharge and OPBHS initial appointment).</w:t>
      </w:r>
    </w:p>
    <w:p w14:paraId="6E1ED45A" w14:textId="77777777" w:rsidR="009924A8" w:rsidRPr="002D0530" w:rsidRDefault="009924A8" w:rsidP="009924A8">
      <w:pPr>
        <w:pStyle w:val="ListParagraph"/>
        <w:numPr>
          <w:ilvl w:val="0"/>
          <w:numId w:val="3"/>
        </w:numPr>
        <w:rPr>
          <w:b/>
          <w:bCs/>
          <w:highlight w:val="yellow"/>
        </w:rPr>
      </w:pPr>
      <w:r w:rsidRPr="3253BC46">
        <w:rPr>
          <w:highlight w:val="yellow"/>
        </w:rPr>
        <w:t xml:space="preserve">Track the number of </w:t>
      </w:r>
      <w:r>
        <w:rPr>
          <w:highlight w:val="yellow"/>
        </w:rPr>
        <w:t>emergency department</w:t>
      </w:r>
      <w:r w:rsidRPr="3253BC46">
        <w:rPr>
          <w:highlight w:val="yellow"/>
        </w:rPr>
        <w:t xml:space="preserve"> return visits, re-admissions, and suicide deaths, particularly noting when the client enters a health care system other than IPBHS</w:t>
      </w:r>
      <w:r>
        <w:rPr>
          <w:highlight w:val="yellow"/>
        </w:rPr>
        <w:t>.</w:t>
      </w:r>
    </w:p>
    <w:p w14:paraId="2FC56A7F" w14:textId="77777777" w:rsidR="009924A8" w:rsidRPr="009C1FC6" w:rsidRDefault="009924A8" w:rsidP="009924A8">
      <w:pPr>
        <w:pStyle w:val="ListParagraph"/>
        <w:numPr>
          <w:ilvl w:val="0"/>
          <w:numId w:val="3"/>
        </w:numPr>
        <w:rPr>
          <w:b/>
          <w:bCs/>
          <w:highlight w:val="yellow"/>
        </w:rPr>
      </w:pPr>
      <w:r>
        <w:rPr>
          <w:highlight w:val="yellow"/>
        </w:rPr>
        <w:t>Track other data as mutually agreed upon with OPBHS.</w:t>
      </w:r>
    </w:p>
    <w:p w14:paraId="43934FE5" w14:textId="77777777" w:rsidR="009924A8" w:rsidRPr="007032E5" w:rsidRDefault="009924A8" w:rsidP="009924A8">
      <w:pPr>
        <w:pStyle w:val="ListParagraph"/>
        <w:ind w:left="1080"/>
        <w:rPr>
          <w:b/>
          <w:bCs/>
          <w:highlight w:val="yellow"/>
        </w:rPr>
      </w:pPr>
    </w:p>
    <w:p w14:paraId="056CE228" w14:textId="77777777" w:rsidR="009924A8" w:rsidRDefault="009924A8" w:rsidP="009924A8">
      <w:r>
        <w:t xml:space="preserve">For individuals who </w:t>
      </w:r>
      <w:r w:rsidRPr="00CC0398">
        <w:t>have consented to the</w:t>
      </w:r>
      <w:r>
        <w:rPr>
          <w:b/>
          <w:bCs/>
        </w:rPr>
        <w:t xml:space="preserve"> F</w:t>
      </w:r>
      <w:r w:rsidRPr="00DF7452">
        <w:rPr>
          <w:b/>
          <w:bCs/>
        </w:rPr>
        <w:t>ollow</w:t>
      </w:r>
      <w:r>
        <w:rPr>
          <w:b/>
          <w:bCs/>
        </w:rPr>
        <w:t>-</w:t>
      </w:r>
      <w:r w:rsidRPr="00645094">
        <w:rPr>
          <w:b/>
          <w:bCs/>
        </w:rPr>
        <w:t>Up Services</w:t>
      </w:r>
      <w:r w:rsidRPr="00645094">
        <w:t xml:space="preserve"> </w:t>
      </w:r>
      <w:r w:rsidRPr="00645094">
        <w:rPr>
          <w:b/>
          <w:bCs/>
        </w:rPr>
        <w:t>Only</w:t>
      </w:r>
      <w:r w:rsidRPr="007032E5">
        <w:rPr>
          <w:b/>
          <w:bCs/>
        </w:rPr>
        <w:t>,</w:t>
      </w:r>
      <w:r>
        <w:t xml:space="preserve"> </w:t>
      </w:r>
      <w:r w:rsidRPr="000D0B95">
        <w:rPr>
          <w:highlight w:val="yellow"/>
        </w:rPr>
        <w:t>OPBHS</w:t>
      </w:r>
      <w:r>
        <w:t xml:space="preserve"> shall do the following: </w:t>
      </w:r>
    </w:p>
    <w:p w14:paraId="3D2CC377" w14:textId="77777777" w:rsidR="009924A8" w:rsidRDefault="009924A8" w:rsidP="009924A8">
      <w:pPr>
        <w:pStyle w:val="ListParagraph"/>
        <w:numPr>
          <w:ilvl w:val="0"/>
          <w:numId w:val="4"/>
        </w:numPr>
        <w:rPr>
          <w:highlight w:val="yellow"/>
        </w:rPr>
      </w:pPr>
      <w:r w:rsidRPr="00BF46E4">
        <w:rPr>
          <w:highlight w:val="yellow"/>
        </w:rPr>
        <w:t>Initiate a</w:t>
      </w:r>
      <w:r>
        <w:rPr>
          <w:highlight w:val="yellow"/>
        </w:rPr>
        <w:t>n outreach</w:t>
      </w:r>
      <w:r w:rsidRPr="00BF46E4">
        <w:rPr>
          <w:highlight w:val="yellow"/>
        </w:rPr>
        <w:t xml:space="preserve"> call with the </w:t>
      </w:r>
      <w:r>
        <w:rPr>
          <w:highlight w:val="yellow"/>
        </w:rPr>
        <w:t>individual</w:t>
      </w:r>
      <w:r w:rsidRPr="00BF46E4">
        <w:rPr>
          <w:highlight w:val="yellow"/>
        </w:rPr>
        <w:t xml:space="preserve"> or guardian within </w:t>
      </w:r>
      <w:r>
        <w:rPr>
          <w:highlight w:val="yellow"/>
        </w:rPr>
        <w:t>2</w:t>
      </w:r>
      <w:r w:rsidRPr="00BF46E4">
        <w:rPr>
          <w:highlight w:val="yellow"/>
        </w:rPr>
        <w:t>4</w:t>
      </w:r>
      <w:r>
        <w:rPr>
          <w:highlight w:val="yellow"/>
        </w:rPr>
        <w:t>–72</w:t>
      </w:r>
      <w:r w:rsidRPr="00BF46E4">
        <w:rPr>
          <w:highlight w:val="yellow"/>
        </w:rPr>
        <w:t xml:space="preserve"> hours of discharge</w:t>
      </w:r>
      <w:r>
        <w:rPr>
          <w:highlight w:val="yellow"/>
        </w:rPr>
        <w:t xml:space="preserve">: </w:t>
      </w:r>
    </w:p>
    <w:p w14:paraId="79538923" w14:textId="77777777" w:rsidR="009924A8" w:rsidRDefault="009924A8" w:rsidP="009924A8">
      <w:pPr>
        <w:pStyle w:val="ListParagraph"/>
        <w:numPr>
          <w:ilvl w:val="1"/>
          <w:numId w:val="4"/>
        </w:numPr>
        <w:rPr>
          <w:highlight w:val="yellow"/>
        </w:rPr>
      </w:pPr>
      <w:r>
        <w:rPr>
          <w:highlight w:val="yellow"/>
        </w:rPr>
        <w:t>Express care and concern.</w:t>
      </w:r>
    </w:p>
    <w:p w14:paraId="14C10CE9" w14:textId="77777777" w:rsidR="009924A8" w:rsidRDefault="009924A8" w:rsidP="009924A8">
      <w:pPr>
        <w:pStyle w:val="ListParagraph"/>
        <w:numPr>
          <w:ilvl w:val="1"/>
          <w:numId w:val="4"/>
        </w:numPr>
        <w:rPr>
          <w:highlight w:val="yellow"/>
        </w:rPr>
      </w:pPr>
      <w:r w:rsidRPr="00CC0398">
        <w:rPr>
          <w:highlight w:val="yellow"/>
        </w:rPr>
        <w:t xml:space="preserve">Review the collaborative safety plan and make revisions or updates with the </w:t>
      </w:r>
      <w:r>
        <w:rPr>
          <w:highlight w:val="yellow"/>
        </w:rPr>
        <w:t xml:space="preserve">individual </w:t>
      </w:r>
      <w:r w:rsidRPr="00CC0398">
        <w:rPr>
          <w:highlight w:val="yellow"/>
        </w:rPr>
        <w:t>or guardian, including lethal means safety counseling.</w:t>
      </w:r>
    </w:p>
    <w:p w14:paraId="4D191099" w14:textId="77777777" w:rsidR="009924A8" w:rsidRDefault="009924A8" w:rsidP="009924A8">
      <w:pPr>
        <w:pStyle w:val="ListParagraph"/>
        <w:numPr>
          <w:ilvl w:val="1"/>
          <w:numId w:val="4"/>
        </w:numPr>
        <w:rPr>
          <w:highlight w:val="yellow"/>
        </w:rPr>
      </w:pPr>
      <w:r>
        <w:rPr>
          <w:highlight w:val="yellow"/>
        </w:rPr>
        <w:t>Explore additional community support resources available to the individual and family.</w:t>
      </w:r>
    </w:p>
    <w:p w14:paraId="559EA223" w14:textId="77777777" w:rsidR="009924A8" w:rsidRPr="00CC0398" w:rsidRDefault="009924A8" w:rsidP="009924A8">
      <w:pPr>
        <w:pStyle w:val="ListParagraph"/>
        <w:numPr>
          <w:ilvl w:val="1"/>
          <w:numId w:val="4"/>
        </w:numPr>
        <w:rPr>
          <w:highlight w:val="green"/>
        </w:rPr>
      </w:pPr>
      <w:r w:rsidRPr="3253BC46">
        <w:rPr>
          <w:highlight w:val="yellow"/>
        </w:rPr>
        <w:t>Reassess the current level of risk and provide crisis care. If appropriate, follow crisis response policies in coordination with IPBHS.</w:t>
      </w:r>
    </w:p>
    <w:p w14:paraId="41BEE96A" w14:textId="77777777" w:rsidR="009924A8" w:rsidRPr="00BF46E4" w:rsidRDefault="009924A8" w:rsidP="009924A8">
      <w:pPr>
        <w:pStyle w:val="ListParagraph"/>
        <w:numPr>
          <w:ilvl w:val="0"/>
          <w:numId w:val="4"/>
        </w:numPr>
        <w:rPr>
          <w:highlight w:val="yellow"/>
        </w:rPr>
      </w:pPr>
      <w:r w:rsidRPr="00BF46E4">
        <w:rPr>
          <w:highlight w:val="yellow"/>
        </w:rPr>
        <w:t xml:space="preserve">Provide follow-up support as clinically appropriate. </w:t>
      </w:r>
    </w:p>
    <w:p w14:paraId="540D5309" w14:textId="77777777" w:rsidR="009924A8" w:rsidRPr="00BF46E4" w:rsidRDefault="009924A8" w:rsidP="009924A8">
      <w:pPr>
        <w:pStyle w:val="ListParagraph"/>
        <w:numPr>
          <w:ilvl w:val="0"/>
          <w:numId w:val="4"/>
        </w:numPr>
        <w:rPr>
          <w:highlight w:val="yellow"/>
        </w:rPr>
      </w:pPr>
      <w:r w:rsidRPr="00BF46E4">
        <w:rPr>
          <w:highlight w:val="yellow"/>
        </w:rPr>
        <w:t>Provide alternate referrals as appropriate.</w:t>
      </w:r>
    </w:p>
    <w:p w14:paraId="1E375DB5" w14:textId="77777777" w:rsidR="009924A8" w:rsidRDefault="009924A8" w:rsidP="009924A8">
      <w:pPr>
        <w:pStyle w:val="ListParagraph"/>
        <w:numPr>
          <w:ilvl w:val="0"/>
          <w:numId w:val="4"/>
        </w:numPr>
        <w:rPr>
          <w:highlight w:val="yellow"/>
        </w:rPr>
      </w:pPr>
      <w:r w:rsidRPr="3253BC46">
        <w:rPr>
          <w:highlight w:val="yellow"/>
        </w:rPr>
        <w:t>Continue to provide follow-up services per schedule.</w:t>
      </w:r>
    </w:p>
    <w:p w14:paraId="4D12AFA3" w14:textId="77777777" w:rsidR="009924A8" w:rsidRPr="00BF46E4" w:rsidRDefault="009924A8" w:rsidP="009924A8">
      <w:pPr>
        <w:pStyle w:val="ListParagraph"/>
        <w:numPr>
          <w:ilvl w:val="0"/>
          <w:numId w:val="4"/>
        </w:numPr>
        <w:rPr>
          <w:highlight w:val="yellow"/>
        </w:rPr>
      </w:pPr>
      <w:r w:rsidRPr="00BF46E4">
        <w:rPr>
          <w:highlight w:val="yellow"/>
        </w:rPr>
        <w:t xml:space="preserve">Document all contacts. </w:t>
      </w:r>
    </w:p>
    <w:p w14:paraId="60E8D39C" w14:textId="77777777" w:rsidR="009924A8" w:rsidRPr="00B2361F" w:rsidRDefault="009924A8" w:rsidP="009924A8">
      <w:pPr>
        <w:rPr>
          <w:highlight w:val="green"/>
        </w:rPr>
      </w:pPr>
      <w:r w:rsidRPr="00B2361F">
        <w:rPr>
          <w:highlight w:val="green"/>
        </w:rPr>
        <w:t xml:space="preserve">For </w:t>
      </w:r>
      <w:r>
        <w:rPr>
          <w:highlight w:val="green"/>
        </w:rPr>
        <w:t>individual</w:t>
      </w:r>
      <w:r w:rsidRPr="00B2361F">
        <w:rPr>
          <w:highlight w:val="green"/>
        </w:rPr>
        <w:t>s who</w:t>
      </w:r>
      <w:r>
        <w:rPr>
          <w:highlight w:val="green"/>
        </w:rPr>
        <w:t xml:space="preserve"> have consented to </w:t>
      </w:r>
      <w:r w:rsidRPr="00645094">
        <w:rPr>
          <w:b/>
          <w:bCs/>
          <w:highlight w:val="green"/>
        </w:rPr>
        <w:t xml:space="preserve">Follow-Up </w:t>
      </w:r>
      <w:r>
        <w:rPr>
          <w:b/>
          <w:bCs/>
          <w:highlight w:val="green"/>
        </w:rPr>
        <w:t>S</w:t>
      </w:r>
      <w:r w:rsidRPr="00645094">
        <w:rPr>
          <w:b/>
          <w:bCs/>
          <w:highlight w:val="green"/>
        </w:rPr>
        <w:t>ervices only</w:t>
      </w:r>
      <w:r>
        <w:rPr>
          <w:highlight w:val="green"/>
        </w:rPr>
        <w:t xml:space="preserve"> and who</w:t>
      </w:r>
      <w:r w:rsidRPr="00B2361F">
        <w:rPr>
          <w:highlight w:val="green"/>
        </w:rPr>
        <w:t xml:space="preserve"> </w:t>
      </w:r>
      <w:r w:rsidRPr="00B2361F">
        <w:rPr>
          <w:b/>
          <w:bCs/>
          <w:highlight w:val="green"/>
        </w:rPr>
        <w:t>cannot be reached by phone</w:t>
      </w:r>
      <w:r w:rsidRPr="00B2361F">
        <w:rPr>
          <w:highlight w:val="green"/>
        </w:rPr>
        <w:t>, OPBHS shall</w:t>
      </w:r>
      <w:r>
        <w:rPr>
          <w:highlight w:val="green"/>
        </w:rPr>
        <w:t xml:space="preserve"> do the following</w:t>
      </w:r>
      <w:r w:rsidRPr="00B2361F">
        <w:rPr>
          <w:highlight w:val="green"/>
        </w:rPr>
        <w:t xml:space="preserve">: </w:t>
      </w:r>
    </w:p>
    <w:p w14:paraId="5F0AE7E1" w14:textId="77777777" w:rsidR="009924A8" w:rsidRPr="00CC0398" w:rsidRDefault="009924A8" w:rsidP="009924A8">
      <w:pPr>
        <w:pStyle w:val="ListParagraph"/>
        <w:numPr>
          <w:ilvl w:val="0"/>
          <w:numId w:val="9"/>
        </w:numPr>
        <w:rPr>
          <w:highlight w:val="green"/>
        </w:rPr>
      </w:pPr>
      <w:r w:rsidRPr="00CC0398">
        <w:rPr>
          <w:highlight w:val="green"/>
        </w:rPr>
        <w:t>Repeat outreach attempt the same day</w:t>
      </w:r>
      <w:r>
        <w:rPr>
          <w:highlight w:val="green"/>
        </w:rPr>
        <w:t>.</w:t>
      </w:r>
    </w:p>
    <w:p w14:paraId="406E8545" w14:textId="77777777" w:rsidR="009924A8" w:rsidRPr="00CC0398" w:rsidRDefault="009924A8" w:rsidP="009924A8">
      <w:pPr>
        <w:pStyle w:val="ListParagraph"/>
        <w:numPr>
          <w:ilvl w:val="0"/>
          <w:numId w:val="9"/>
        </w:numPr>
        <w:rPr>
          <w:highlight w:val="green"/>
        </w:rPr>
      </w:pPr>
      <w:r w:rsidRPr="00CC0398">
        <w:rPr>
          <w:highlight w:val="green"/>
        </w:rPr>
        <w:t xml:space="preserve">Contact IPBHS regarding the inability to reach the </w:t>
      </w:r>
      <w:r>
        <w:rPr>
          <w:highlight w:val="green"/>
        </w:rPr>
        <w:t>individual</w:t>
      </w:r>
      <w:r w:rsidRPr="00CC0398">
        <w:rPr>
          <w:highlight w:val="green"/>
        </w:rPr>
        <w:t xml:space="preserve"> and problem-solve</w:t>
      </w:r>
      <w:r>
        <w:rPr>
          <w:highlight w:val="green"/>
        </w:rPr>
        <w:t>.</w:t>
      </w:r>
    </w:p>
    <w:p w14:paraId="6AFB7C6F" w14:textId="77777777" w:rsidR="009924A8" w:rsidRPr="00CC0398" w:rsidRDefault="009924A8" w:rsidP="009924A8">
      <w:pPr>
        <w:pStyle w:val="ListParagraph"/>
        <w:numPr>
          <w:ilvl w:val="0"/>
          <w:numId w:val="9"/>
        </w:numPr>
        <w:rPr>
          <w:highlight w:val="green"/>
        </w:rPr>
      </w:pPr>
      <w:r w:rsidRPr="00CC0398">
        <w:rPr>
          <w:highlight w:val="green"/>
        </w:rPr>
        <w:t xml:space="preserve">Coordinate with IPBHS crisis response protocol for </w:t>
      </w:r>
      <w:r>
        <w:rPr>
          <w:highlight w:val="green"/>
        </w:rPr>
        <w:t>individual</w:t>
      </w:r>
      <w:r w:rsidRPr="00CC0398">
        <w:rPr>
          <w:highlight w:val="green"/>
        </w:rPr>
        <w:t>s with identified suicide risk</w:t>
      </w:r>
      <w:r>
        <w:rPr>
          <w:highlight w:val="green"/>
        </w:rPr>
        <w:t xml:space="preserve">, </w:t>
      </w:r>
      <w:r w:rsidRPr="00CC0398">
        <w:rPr>
          <w:highlight w:val="green"/>
        </w:rPr>
        <w:t>e.g., call emergency contacts, utilize mobile crisis outreach team.</w:t>
      </w:r>
    </w:p>
    <w:p w14:paraId="4CE19C65" w14:textId="77777777" w:rsidR="009924A8" w:rsidRPr="00B2361F" w:rsidRDefault="009924A8" w:rsidP="009924A8">
      <w:pPr>
        <w:pStyle w:val="ListParagraph"/>
        <w:numPr>
          <w:ilvl w:val="0"/>
          <w:numId w:val="9"/>
        </w:numPr>
        <w:rPr>
          <w:highlight w:val="green"/>
        </w:rPr>
      </w:pPr>
      <w:r w:rsidRPr="00B2361F">
        <w:rPr>
          <w:highlight w:val="green"/>
        </w:rPr>
        <w:t>Send caring letter</w:t>
      </w:r>
      <w:r>
        <w:rPr>
          <w:highlight w:val="green"/>
        </w:rPr>
        <w:t>s</w:t>
      </w:r>
      <w:r w:rsidRPr="00B2361F">
        <w:rPr>
          <w:highlight w:val="green"/>
        </w:rPr>
        <w:t xml:space="preserve"> to the </w:t>
      </w:r>
      <w:r>
        <w:rPr>
          <w:highlight w:val="green"/>
        </w:rPr>
        <w:t>individual,</w:t>
      </w:r>
      <w:r w:rsidRPr="00B2361F">
        <w:rPr>
          <w:highlight w:val="green"/>
        </w:rPr>
        <w:t xml:space="preserve"> if a known address is available</w:t>
      </w:r>
      <w:r>
        <w:rPr>
          <w:highlight w:val="green"/>
        </w:rPr>
        <w:t xml:space="preserve"> (on agreed upon schedule).</w:t>
      </w:r>
    </w:p>
    <w:p w14:paraId="6C0C0633" w14:textId="7DC4F23D" w:rsidR="009924A8" w:rsidRPr="009924A8" w:rsidRDefault="009924A8" w:rsidP="009924A8">
      <w:pPr>
        <w:pStyle w:val="ListParagraph"/>
        <w:numPr>
          <w:ilvl w:val="0"/>
          <w:numId w:val="9"/>
        </w:numPr>
        <w:rPr>
          <w:highlight w:val="green"/>
        </w:rPr>
      </w:pPr>
      <w:r w:rsidRPr="00B2361F">
        <w:rPr>
          <w:highlight w:val="green"/>
        </w:rPr>
        <w:t>Document all efforts</w:t>
      </w:r>
      <w:r>
        <w:rPr>
          <w:highlight w:val="green"/>
        </w:rPr>
        <w:t xml:space="preserve"> to reach the individual.</w:t>
      </w:r>
    </w:p>
    <w:p w14:paraId="2456B50F" w14:textId="77777777" w:rsidR="009924A8" w:rsidRDefault="009924A8" w:rsidP="009924A8">
      <w:pPr>
        <w:pStyle w:val="Heading1"/>
      </w:pPr>
      <w:r w:rsidRPr="009831D6">
        <w:t>PRINCIPAL CONTACTS</w:t>
      </w:r>
    </w:p>
    <w:p w14:paraId="2D6CD4E5" w14:textId="77777777" w:rsidR="009924A8" w:rsidRDefault="009924A8" w:rsidP="009924A8">
      <w:r>
        <w:t>The principal contacts for this MOU are as follows:</w:t>
      </w:r>
    </w:p>
    <w:p w14:paraId="433023DE" w14:textId="77777777" w:rsidR="009924A8" w:rsidRPr="009924A8" w:rsidRDefault="009924A8" w:rsidP="009924A8">
      <w:pPr>
        <w:rPr>
          <w:b/>
          <w:bCs/>
        </w:rPr>
      </w:pPr>
      <w:r w:rsidRPr="009924A8">
        <w:rPr>
          <w:b/>
          <w:bCs/>
          <w:highlight w:val="yellow"/>
        </w:rPr>
        <w:t>IPBHS</w:t>
      </w:r>
    </w:p>
    <w:tbl>
      <w:tblPr>
        <w:tblStyle w:val="TableGrid"/>
        <w:tblW w:w="0" w:type="auto"/>
        <w:tblInd w:w="360" w:type="dxa"/>
        <w:tblLook w:val="04A0" w:firstRow="1" w:lastRow="0" w:firstColumn="1" w:lastColumn="0" w:noHBand="0" w:noVBand="1"/>
      </w:tblPr>
      <w:tblGrid>
        <w:gridCol w:w="2155"/>
        <w:gridCol w:w="3417"/>
        <w:gridCol w:w="3418"/>
      </w:tblGrid>
      <w:tr w:rsidR="009924A8" w14:paraId="26F99240" w14:textId="77777777" w:rsidTr="009924A8">
        <w:tc>
          <w:tcPr>
            <w:tcW w:w="2155" w:type="dxa"/>
            <w:shd w:val="clear" w:color="auto" w:fill="B4C6E7" w:themeFill="accent1" w:themeFillTint="66"/>
          </w:tcPr>
          <w:p w14:paraId="28DCCAD9" w14:textId="77777777" w:rsidR="009924A8" w:rsidRDefault="009924A8" w:rsidP="00BF5DBE"/>
        </w:tc>
        <w:tc>
          <w:tcPr>
            <w:tcW w:w="3417" w:type="dxa"/>
            <w:shd w:val="clear" w:color="auto" w:fill="B4C6E7" w:themeFill="accent1" w:themeFillTint="66"/>
          </w:tcPr>
          <w:p w14:paraId="395EC072" w14:textId="77777777" w:rsidR="009924A8" w:rsidRPr="009924A8" w:rsidRDefault="009924A8" w:rsidP="00BF5DBE">
            <w:pPr>
              <w:rPr>
                <w:b/>
                <w:bCs/>
              </w:rPr>
            </w:pPr>
            <w:r w:rsidRPr="009924A8">
              <w:rPr>
                <w:b/>
                <w:bCs/>
              </w:rPr>
              <w:t>Main Contact</w:t>
            </w:r>
          </w:p>
        </w:tc>
        <w:tc>
          <w:tcPr>
            <w:tcW w:w="3418" w:type="dxa"/>
            <w:shd w:val="clear" w:color="auto" w:fill="B4C6E7" w:themeFill="accent1" w:themeFillTint="66"/>
          </w:tcPr>
          <w:p w14:paraId="0309B88C" w14:textId="77777777" w:rsidR="009924A8" w:rsidRPr="009924A8" w:rsidRDefault="009924A8" w:rsidP="00BF5DBE">
            <w:pPr>
              <w:rPr>
                <w:b/>
                <w:bCs/>
              </w:rPr>
            </w:pPr>
            <w:r w:rsidRPr="009924A8">
              <w:rPr>
                <w:b/>
                <w:bCs/>
              </w:rPr>
              <w:t>Alternate Contact</w:t>
            </w:r>
          </w:p>
        </w:tc>
      </w:tr>
      <w:tr w:rsidR="009924A8" w14:paraId="392E5503" w14:textId="77777777" w:rsidTr="009924A8">
        <w:tc>
          <w:tcPr>
            <w:tcW w:w="2155" w:type="dxa"/>
            <w:shd w:val="clear" w:color="auto" w:fill="B4C6E7" w:themeFill="accent1" w:themeFillTint="66"/>
          </w:tcPr>
          <w:p w14:paraId="4F6C6E5A" w14:textId="77777777" w:rsidR="009924A8" w:rsidRPr="009924A8" w:rsidRDefault="009924A8" w:rsidP="00BF5DBE">
            <w:pPr>
              <w:rPr>
                <w:b/>
                <w:bCs/>
              </w:rPr>
            </w:pPr>
            <w:r w:rsidRPr="009924A8">
              <w:rPr>
                <w:b/>
                <w:bCs/>
              </w:rPr>
              <w:t>Name</w:t>
            </w:r>
          </w:p>
        </w:tc>
        <w:tc>
          <w:tcPr>
            <w:tcW w:w="3417" w:type="dxa"/>
          </w:tcPr>
          <w:p w14:paraId="0DD26005" w14:textId="77777777" w:rsidR="009924A8" w:rsidRDefault="009924A8" w:rsidP="00BF5DBE"/>
        </w:tc>
        <w:tc>
          <w:tcPr>
            <w:tcW w:w="3418" w:type="dxa"/>
          </w:tcPr>
          <w:p w14:paraId="5ABA53D1" w14:textId="77777777" w:rsidR="009924A8" w:rsidRDefault="009924A8" w:rsidP="00BF5DBE"/>
        </w:tc>
      </w:tr>
      <w:tr w:rsidR="009924A8" w14:paraId="53CBF9EF" w14:textId="77777777" w:rsidTr="009924A8">
        <w:tc>
          <w:tcPr>
            <w:tcW w:w="2155" w:type="dxa"/>
            <w:shd w:val="clear" w:color="auto" w:fill="B4C6E7" w:themeFill="accent1" w:themeFillTint="66"/>
          </w:tcPr>
          <w:p w14:paraId="418036FF" w14:textId="77777777" w:rsidR="009924A8" w:rsidRPr="009924A8" w:rsidRDefault="009924A8" w:rsidP="00BF5DBE">
            <w:pPr>
              <w:rPr>
                <w:b/>
                <w:bCs/>
              </w:rPr>
            </w:pPr>
            <w:r w:rsidRPr="009924A8">
              <w:rPr>
                <w:b/>
                <w:bCs/>
              </w:rPr>
              <w:t>Title</w:t>
            </w:r>
          </w:p>
        </w:tc>
        <w:tc>
          <w:tcPr>
            <w:tcW w:w="3417" w:type="dxa"/>
          </w:tcPr>
          <w:p w14:paraId="6ECAA57B" w14:textId="77777777" w:rsidR="009924A8" w:rsidRDefault="009924A8" w:rsidP="00BF5DBE"/>
        </w:tc>
        <w:tc>
          <w:tcPr>
            <w:tcW w:w="3418" w:type="dxa"/>
          </w:tcPr>
          <w:p w14:paraId="6F3B5F82" w14:textId="77777777" w:rsidR="009924A8" w:rsidRDefault="009924A8" w:rsidP="00BF5DBE"/>
        </w:tc>
      </w:tr>
      <w:tr w:rsidR="009924A8" w14:paraId="67971E90" w14:textId="77777777" w:rsidTr="009924A8">
        <w:tc>
          <w:tcPr>
            <w:tcW w:w="2155" w:type="dxa"/>
            <w:shd w:val="clear" w:color="auto" w:fill="B4C6E7" w:themeFill="accent1" w:themeFillTint="66"/>
          </w:tcPr>
          <w:p w14:paraId="53401B77" w14:textId="77777777" w:rsidR="009924A8" w:rsidRPr="009924A8" w:rsidRDefault="009924A8" w:rsidP="00BF5DBE">
            <w:pPr>
              <w:rPr>
                <w:b/>
                <w:bCs/>
              </w:rPr>
            </w:pPr>
            <w:r w:rsidRPr="009924A8">
              <w:rPr>
                <w:b/>
                <w:bCs/>
              </w:rPr>
              <w:t>Mailing Address</w:t>
            </w:r>
          </w:p>
        </w:tc>
        <w:tc>
          <w:tcPr>
            <w:tcW w:w="3417" w:type="dxa"/>
          </w:tcPr>
          <w:p w14:paraId="5D6A95AC" w14:textId="77777777" w:rsidR="009924A8" w:rsidRDefault="009924A8" w:rsidP="00BF5DBE"/>
        </w:tc>
        <w:tc>
          <w:tcPr>
            <w:tcW w:w="3418" w:type="dxa"/>
          </w:tcPr>
          <w:p w14:paraId="5CFCC179" w14:textId="77777777" w:rsidR="009924A8" w:rsidRDefault="009924A8" w:rsidP="00BF5DBE"/>
        </w:tc>
      </w:tr>
      <w:tr w:rsidR="009924A8" w14:paraId="1B8A68A9" w14:textId="77777777" w:rsidTr="009924A8">
        <w:tc>
          <w:tcPr>
            <w:tcW w:w="2155" w:type="dxa"/>
            <w:shd w:val="clear" w:color="auto" w:fill="B4C6E7" w:themeFill="accent1" w:themeFillTint="66"/>
          </w:tcPr>
          <w:p w14:paraId="2B7C71D3" w14:textId="77777777" w:rsidR="009924A8" w:rsidRPr="009924A8" w:rsidRDefault="009924A8" w:rsidP="00BF5DBE">
            <w:pPr>
              <w:rPr>
                <w:b/>
                <w:bCs/>
              </w:rPr>
            </w:pPr>
            <w:r w:rsidRPr="009924A8">
              <w:rPr>
                <w:b/>
                <w:bCs/>
              </w:rPr>
              <w:t>Phone Number</w:t>
            </w:r>
          </w:p>
        </w:tc>
        <w:tc>
          <w:tcPr>
            <w:tcW w:w="3417" w:type="dxa"/>
          </w:tcPr>
          <w:p w14:paraId="60277AA0" w14:textId="77777777" w:rsidR="009924A8" w:rsidRDefault="009924A8" w:rsidP="00BF5DBE"/>
        </w:tc>
        <w:tc>
          <w:tcPr>
            <w:tcW w:w="3418" w:type="dxa"/>
          </w:tcPr>
          <w:p w14:paraId="65983732" w14:textId="77777777" w:rsidR="009924A8" w:rsidRDefault="009924A8" w:rsidP="00BF5DBE"/>
        </w:tc>
      </w:tr>
      <w:tr w:rsidR="009924A8" w14:paraId="37DA9B28" w14:textId="77777777" w:rsidTr="009924A8">
        <w:tc>
          <w:tcPr>
            <w:tcW w:w="2155" w:type="dxa"/>
            <w:shd w:val="clear" w:color="auto" w:fill="B4C6E7" w:themeFill="accent1" w:themeFillTint="66"/>
          </w:tcPr>
          <w:p w14:paraId="27DDD9A9" w14:textId="77777777" w:rsidR="009924A8" w:rsidRPr="009924A8" w:rsidRDefault="009924A8" w:rsidP="00BF5DBE">
            <w:pPr>
              <w:rPr>
                <w:b/>
                <w:bCs/>
              </w:rPr>
            </w:pPr>
            <w:r w:rsidRPr="009924A8">
              <w:rPr>
                <w:b/>
                <w:bCs/>
              </w:rPr>
              <w:t>Fax Number</w:t>
            </w:r>
          </w:p>
        </w:tc>
        <w:tc>
          <w:tcPr>
            <w:tcW w:w="3417" w:type="dxa"/>
          </w:tcPr>
          <w:p w14:paraId="04F40011" w14:textId="77777777" w:rsidR="009924A8" w:rsidRDefault="009924A8" w:rsidP="00BF5DBE"/>
        </w:tc>
        <w:tc>
          <w:tcPr>
            <w:tcW w:w="3418" w:type="dxa"/>
          </w:tcPr>
          <w:p w14:paraId="1FB32D39" w14:textId="77777777" w:rsidR="009924A8" w:rsidRDefault="009924A8" w:rsidP="00BF5DBE"/>
        </w:tc>
      </w:tr>
      <w:tr w:rsidR="009924A8" w14:paraId="714A3B9F" w14:textId="77777777" w:rsidTr="009924A8">
        <w:tc>
          <w:tcPr>
            <w:tcW w:w="2155" w:type="dxa"/>
            <w:shd w:val="clear" w:color="auto" w:fill="B4C6E7" w:themeFill="accent1" w:themeFillTint="66"/>
          </w:tcPr>
          <w:p w14:paraId="587F10E4" w14:textId="77777777" w:rsidR="009924A8" w:rsidRPr="009924A8" w:rsidRDefault="009924A8" w:rsidP="00BF5DBE">
            <w:pPr>
              <w:rPr>
                <w:b/>
                <w:bCs/>
              </w:rPr>
            </w:pPr>
            <w:r w:rsidRPr="009924A8">
              <w:rPr>
                <w:b/>
                <w:bCs/>
              </w:rPr>
              <w:lastRenderedPageBreak/>
              <w:t>Email Address</w:t>
            </w:r>
          </w:p>
        </w:tc>
        <w:tc>
          <w:tcPr>
            <w:tcW w:w="3417" w:type="dxa"/>
          </w:tcPr>
          <w:p w14:paraId="1DB7DFFC" w14:textId="77777777" w:rsidR="009924A8" w:rsidRDefault="009924A8" w:rsidP="00BF5DBE"/>
        </w:tc>
        <w:tc>
          <w:tcPr>
            <w:tcW w:w="3418" w:type="dxa"/>
          </w:tcPr>
          <w:p w14:paraId="32188244" w14:textId="77777777" w:rsidR="009924A8" w:rsidRDefault="009924A8" w:rsidP="00BF5DBE"/>
        </w:tc>
      </w:tr>
    </w:tbl>
    <w:p w14:paraId="35B8C419" w14:textId="77777777" w:rsidR="009924A8" w:rsidRPr="009924A8" w:rsidRDefault="009924A8" w:rsidP="009924A8">
      <w:pPr>
        <w:rPr>
          <w:b/>
          <w:bCs/>
        </w:rPr>
      </w:pPr>
      <w:r w:rsidRPr="009924A8">
        <w:rPr>
          <w:b/>
          <w:bCs/>
          <w:highlight w:val="yellow"/>
        </w:rPr>
        <w:t>OPBHS</w:t>
      </w:r>
    </w:p>
    <w:tbl>
      <w:tblPr>
        <w:tblStyle w:val="TableGrid"/>
        <w:tblW w:w="0" w:type="auto"/>
        <w:tblInd w:w="360" w:type="dxa"/>
        <w:tblLook w:val="04A0" w:firstRow="1" w:lastRow="0" w:firstColumn="1" w:lastColumn="0" w:noHBand="0" w:noVBand="1"/>
      </w:tblPr>
      <w:tblGrid>
        <w:gridCol w:w="2065"/>
        <w:gridCol w:w="3462"/>
        <w:gridCol w:w="3463"/>
      </w:tblGrid>
      <w:tr w:rsidR="009924A8" w14:paraId="43F72ECF" w14:textId="77777777" w:rsidTr="009924A8">
        <w:tc>
          <w:tcPr>
            <w:tcW w:w="2065" w:type="dxa"/>
            <w:shd w:val="clear" w:color="auto" w:fill="B4C6E7" w:themeFill="accent1" w:themeFillTint="66"/>
          </w:tcPr>
          <w:p w14:paraId="0C47C20F" w14:textId="77777777" w:rsidR="009924A8" w:rsidRDefault="009924A8" w:rsidP="00BF5DBE"/>
        </w:tc>
        <w:tc>
          <w:tcPr>
            <w:tcW w:w="3462" w:type="dxa"/>
            <w:shd w:val="clear" w:color="auto" w:fill="B4C6E7" w:themeFill="accent1" w:themeFillTint="66"/>
          </w:tcPr>
          <w:p w14:paraId="37EC7E29" w14:textId="77777777" w:rsidR="009924A8" w:rsidRPr="009924A8" w:rsidRDefault="009924A8" w:rsidP="00BF5DBE">
            <w:pPr>
              <w:rPr>
                <w:b/>
                <w:bCs/>
              </w:rPr>
            </w:pPr>
            <w:r w:rsidRPr="009924A8">
              <w:rPr>
                <w:b/>
                <w:bCs/>
              </w:rPr>
              <w:t>Main Contact</w:t>
            </w:r>
          </w:p>
        </w:tc>
        <w:tc>
          <w:tcPr>
            <w:tcW w:w="3463" w:type="dxa"/>
            <w:shd w:val="clear" w:color="auto" w:fill="B4C6E7" w:themeFill="accent1" w:themeFillTint="66"/>
          </w:tcPr>
          <w:p w14:paraId="06B0B407" w14:textId="77777777" w:rsidR="009924A8" w:rsidRPr="009924A8" w:rsidRDefault="009924A8" w:rsidP="00BF5DBE">
            <w:pPr>
              <w:rPr>
                <w:b/>
                <w:bCs/>
              </w:rPr>
            </w:pPr>
            <w:r w:rsidRPr="009924A8">
              <w:rPr>
                <w:b/>
                <w:bCs/>
              </w:rPr>
              <w:t>Alternate Contact</w:t>
            </w:r>
          </w:p>
        </w:tc>
      </w:tr>
      <w:tr w:rsidR="009924A8" w14:paraId="4232BEC9" w14:textId="77777777" w:rsidTr="009924A8">
        <w:tc>
          <w:tcPr>
            <w:tcW w:w="2065" w:type="dxa"/>
            <w:shd w:val="clear" w:color="auto" w:fill="B4C6E7" w:themeFill="accent1" w:themeFillTint="66"/>
          </w:tcPr>
          <w:p w14:paraId="7CCB92DD" w14:textId="77777777" w:rsidR="009924A8" w:rsidRPr="009924A8" w:rsidRDefault="009924A8" w:rsidP="00BF5DBE">
            <w:pPr>
              <w:rPr>
                <w:b/>
                <w:bCs/>
              </w:rPr>
            </w:pPr>
            <w:r w:rsidRPr="009924A8">
              <w:rPr>
                <w:b/>
                <w:bCs/>
              </w:rPr>
              <w:t>Name</w:t>
            </w:r>
          </w:p>
        </w:tc>
        <w:tc>
          <w:tcPr>
            <w:tcW w:w="3462" w:type="dxa"/>
          </w:tcPr>
          <w:p w14:paraId="28CE160F" w14:textId="77777777" w:rsidR="009924A8" w:rsidRDefault="009924A8" w:rsidP="00BF5DBE"/>
        </w:tc>
        <w:tc>
          <w:tcPr>
            <w:tcW w:w="3463" w:type="dxa"/>
          </w:tcPr>
          <w:p w14:paraId="0530F4FA" w14:textId="77777777" w:rsidR="009924A8" w:rsidRDefault="009924A8" w:rsidP="00BF5DBE"/>
        </w:tc>
      </w:tr>
      <w:tr w:rsidR="009924A8" w14:paraId="5041295D" w14:textId="77777777" w:rsidTr="009924A8">
        <w:tc>
          <w:tcPr>
            <w:tcW w:w="2065" w:type="dxa"/>
            <w:shd w:val="clear" w:color="auto" w:fill="B4C6E7" w:themeFill="accent1" w:themeFillTint="66"/>
          </w:tcPr>
          <w:p w14:paraId="2FCE060E" w14:textId="77777777" w:rsidR="009924A8" w:rsidRPr="009924A8" w:rsidRDefault="009924A8" w:rsidP="00BF5DBE">
            <w:pPr>
              <w:rPr>
                <w:b/>
                <w:bCs/>
              </w:rPr>
            </w:pPr>
            <w:r w:rsidRPr="009924A8">
              <w:rPr>
                <w:b/>
                <w:bCs/>
              </w:rPr>
              <w:t>Title</w:t>
            </w:r>
          </w:p>
        </w:tc>
        <w:tc>
          <w:tcPr>
            <w:tcW w:w="3462" w:type="dxa"/>
          </w:tcPr>
          <w:p w14:paraId="0DCB032F" w14:textId="77777777" w:rsidR="009924A8" w:rsidRDefault="009924A8" w:rsidP="00BF5DBE"/>
        </w:tc>
        <w:tc>
          <w:tcPr>
            <w:tcW w:w="3463" w:type="dxa"/>
          </w:tcPr>
          <w:p w14:paraId="4045C91D" w14:textId="77777777" w:rsidR="009924A8" w:rsidRDefault="009924A8" w:rsidP="00BF5DBE"/>
        </w:tc>
      </w:tr>
      <w:tr w:rsidR="009924A8" w14:paraId="276291D0" w14:textId="77777777" w:rsidTr="009924A8">
        <w:tc>
          <w:tcPr>
            <w:tcW w:w="2065" w:type="dxa"/>
            <w:shd w:val="clear" w:color="auto" w:fill="B4C6E7" w:themeFill="accent1" w:themeFillTint="66"/>
          </w:tcPr>
          <w:p w14:paraId="6EDCA7BA" w14:textId="77777777" w:rsidR="009924A8" w:rsidRPr="009924A8" w:rsidRDefault="009924A8" w:rsidP="00BF5DBE">
            <w:pPr>
              <w:rPr>
                <w:b/>
                <w:bCs/>
              </w:rPr>
            </w:pPr>
            <w:r w:rsidRPr="009924A8">
              <w:rPr>
                <w:b/>
                <w:bCs/>
              </w:rPr>
              <w:t>Mailing Address</w:t>
            </w:r>
          </w:p>
        </w:tc>
        <w:tc>
          <w:tcPr>
            <w:tcW w:w="3462" w:type="dxa"/>
          </w:tcPr>
          <w:p w14:paraId="221B8DB2" w14:textId="77777777" w:rsidR="009924A8" w:rsidRDefault="009924A8" w:rsidP="00BF5DBE"/>
        </w:tc>
        <w:tc>
          <w:tcPr>
            <w:tcW w:w="3463" w:type="dxa"/>
          </w:tcPr>
          <w:p w14:paraId="1617BAB6" w14:textId="77777777" w:rsidR="009924A8" w:rsidRDefault="009924A8" w:rsidP="00BF5DBE"/>
        </w:tc>
      </w:tr>
      <w:tr w:rsidR="009924A8" w14:paraId="1318416C" w14:textId="77777777" w:rsidTr="009924A8">
        <w:tc>
          <w:tcPr>
            <w:tcW w:w="2065" w:type="dxa"/>
            <w:shd w:val="clear" w:color="auto" w:fill="B4C6E7" w:themeFill="accent1" w:themeFillTint="66"/>
          </w:tcPr>
          <w:p w14:paraId="0B80AD29" w14:textId="77777777" w:rsidR="009924A8" w:rsidRPr="009924A8" w:rsidRDefault="009924A8" w:rsidP="00BF5DBE">
            <w:pPr>
              <w:rPr>
                <w:b/>
                <w:bCs/>
              </w:rPr>
            </w:pPr>
            <w:r w:rsidRPr="009924A8">
              <w:rPr>
                <w:b/>
                <w:bCs/>
              </w:rPr>
              <w:t>Phone Number</w:t>
            </w:r>
          </w:p>
        </w:tc>
        <w:tc>
          <w:tcPr>
            <w:tcW w:w="3462" w:type="dxa"/>
          </w:tcPr>
          <w:p w14:paraId="627FB424" w14:textId="77777777" w:rsidR="009924A8" w:rsidRDefault="009924A8" w:rsidP="00BF5DBE"/>
        </w:tc>
        <w:tc>
          <w:tcPr>
            <w:tcW w:w="3463" w:type="dxa"/>
          </w:tcPr>
          <w:p w14:paraId="582EB666" w14:textId="77777777" w:rsidR="009924A8" w:rsidRDefault="009924A8" w:rsidP="00BF5DBE"/>
        </w:tc>
      </w:tr>
      <w:tr w:rsidR="009924A8" w14:paraId="2EC3503D" w14:textId="77777777" w:rsidTr="009924A8">
        <w:tc>
          <w:tcPr>
            <w:tcW w:w="2065" w:type="dxa"/>
            <w:shd w:val="clear" w:color="auto" w:fill="B4C6E7" w:themeFill="accent1" w:themeFillTint="66"/>
          </w:tcPr>
          <w:p w14:paraId="249281F6" w14:textId="77777777" w:rsidR="009924A8" w:rsidRPr="009924A8" w:rsidRDefault="009924A8" w:rsidP="00BF5DBE">
            <w:pPr>
              <w:rPr>
                <w:b/>
                <w:bCs/>
              </w:rPr>
            </w:pPr>
            <w:r w:rsidRPr="009924A8">
              <w:rPr>
                <w:b/>
                <w:bCs/>
              </w:rPr>
              <w:t>Fax Number</w:t>
            </w:r>
          </w:p>
        </w:tc>
        <w:tc>
          <w:tcPr>
            <w:tcW w:w="3462" w:type="dxa"/>
          </w:tcPr>
          <w:p w14:paraId="239076E9" w14:textId="77777777" w:rsidR="009924A8" w:rsidRDefault="009924A8" w:rsidP="00BF5DBE"/>
        </w:tc>
        <w:tc>
          <w:tcPr>
            <w:tcW w:w="3463" w:type="dxa"/>
          </w:tcPr>
          <w:p w14:paraId="782E997D" w14:textId="77777777" w:rsidR="009924A8" w:rsidRDefault="009924A8" w:rsidP="00BF5DBE"/>
        </w:tc>
      </w:tr>
      <w:tr w:rsidR="009924A8" w14:paraId="62CCB56F" w14:textId="77777777" w:rsidTr="009924A8">
        <w:tc>
          <w:tcPr>
            <w:tcW w:w="2065" w:type="dxa"/>
            <w:shd w:val="clear" w:color="auto" w:fill="B4C6E7" w:themeFill="accent1" w:themeFillTint="66"/>
          </w:tcPr>
          <w:p w14:paraId="15EA0982" w14:textId="77777777" w:rsidR="009924A8" w:rsidRPr="009924A8" w:rsidRDefault="009924A8" w:rsidP="00BF5DBE">
            <w:pPr>
              <w:rPr>
                <w:b/>
                <w:bCs/>
              </w:rPr>
            </w:pPr>
            <w:r w:rsidRPr="009924A8">
              <w:rPr>
                <w:b/>
                <w:bCs/>
              </w:rPr>
              <w:t>Email Address</w:t>
            </w:r>
          </w:p>
        </w:tc>
        <w:tc>
          <w:tcPr>
            <w:tcW w:w="3462" w:type="dxa"/>
          </w:tcPr>
          <w:p w14:paraId="4E7B6F6E" w14:textId="77777777" w:rsidR="009924A8" w:rsidRDefault="009924A8" w:rsidP="00BF5DBE"/>
        </w:tc>
        <w:tc>
          <w:tcPr>
            <w:tcW w:w="3463" w:type="dxa"/>
          </w:tcPr>
          <w:p w14:paraId="706EB96E" w14:textId="77777777" w:rsidR="009924A8" w:rsidRDefault="009924A8" w:rsidP="00BF5DBE"/>
        </w:tc>
      </w:tr>
    </w:tbl>
    <w:p w14:paraId="6259428E" w14:textId="77777777" w:rsidR="009924A8" w:rsidRDefault="009924A8" w:rsidP="00F42793">
      <w:pPr>
        <w:rPr>
          <w:b/>
          <w:bCs/>
        </w:rPr>
      </w:pPr>
    </w:p>
    <w:p w14:paraId="68315CFA" w14:textId="42FFDAD9" w:rsidR="009924A8" w:rsidRDefault="009924A8" w:rsidP="009924A8">
      <w:r>
        <w:t xml:space="preserve">All notices, requests, </w:t>
      </w:r>
      <w:proofErr w:type="gramStart"/>
      <w:r>
        <w:t>consents</w:t>
      </w:r>
      <w:proofErr w:type="gramEnd"/>
      <w:r>
        <w:t xml:space="preserve"> or other communications required and permitted under this MOU shall be deemed to have been given, if and when deposited in the U.S. Postal Service by registered or certified mail, return service requested, properly stamped and addressed to the party at such parties' address listed herein, or when personally delivered to such party. A party may change its address for notice hereunder by giving notice to the other party.  </w:t>
      </w:r>
    </w:p>
    <w:p w14:paraId="48C8CC05" w14:textId="77777777" w:rsidR="009924A8" w:rsidRPr="00F11627" w:rsidRDefault="009924A8" w:rsidP="00F42793">
      <w:pPr>
        <w:pStyle w:val="Heading2"/>
      </w:pPr>
      <w:r w:rsidRPr="00F11627">
        <w:t>TERM</w:t>
      </w:r>
    </w:p>
    <w:p w14:paraId="0C333E28" w14:textId="465DC9DB" w:rsidR="009924A8" w:rsidRDefault="009924A8" w:rsidP="00F42793">
      <w:r>
        <w:t>This MOU shall commence on the date last executed by the duly authorized representatives of the parties to this MOU and shall remain in full force until terminated as provided herein.  Annual review of this MOU will occur.</w:t>
      </w:r>
    </w:p>
    <w:p w14:paraId="24E42C78" w14:textId="77777777" w:rsidR="009924A8" w:rsidRPr="00F11627" w:rsidRDefault="009924A8" w:rsidP="00F42793">
      <w:pPr>
        <w:pStyle w:val="Heading2"/>
      </w:pPr>
      <w:r w:rsidRPr="00F11627">
        <w:t>PAYMENT</w:t>
      </w:r>
    </w:p>
    <w:p w14:paraId="47804D48" w14:textId="5DD819AC" w:rsidR="009924A8" w:rsidRDefault="009924A8" w:rsidP="00F42793">
      <w:r>
        <w:t xml:space="preserve">No payment shall be made to either party as a result of this MOU. There will be no direct reimbursement or exchange of funds between </w:t>
      </w:r>
      <w:r w:rsidRPr="3253BC46">
        <w:rPr>
          <w:highlight w:val="yellow"/>
        </w:rPr>
        <w:t>IPBHS</w:t>
      </w:r>
      <w:r>
        <w:t xml:space="preserve"> and </w:t>
      </w:r>
      <w:r w:rsidRPr="3253BC46">
        <w:rPr>
          <w:highlight w:val="yellow"/>
        </w:rPr>
        <w:t>OPBHS</w:t>
      </w:r>
      <w:r>
        <w:t xml:space="preserve"> related to this Agreement. Each party certifies that (a) it has not received and/or given anything of value in exchange for entering into this Agreement (other than that which has been fully disclosed herein), and (b) it has no knowledge of any real or apparent conflict of interest which will/may result from performance under this Agreement.</w:t>
      </w:r>
    </w:p>
    <w:p w14:paraId="2021A46A" w14:textId="77777777" w:rsidR="009924A8" w:rsidRDefault="009924A8" w:rsidP="00F42793">
      <w:pPr>
        <w:pStyle w:val="Heading2"/>
      </w:pPr>
      <w:r>
        <w:t>GENERAL PROVISIONS</w:t>
      </w:r>
    </w:p>
    <w:p w14:paraId="45AD4781" w14:textId="77777777" w:rsidR="009924A8" w:rsidRDefault="009924A8" w:rsidP="009924A8">
      <w:pPr>
        <w:pStyle w:val="ListParagraph"/>
        <w:numPr>
          <w:ilvl w:val="0"/>
          <w:numId w:val="6"/>
        </w:numPr>
        <w:contextualSpacing w:val="0"/>
      </w:pPr>
      <w:r w:rsidRPr="003D70D9">
        <w:rPr>
          <w:u w:val="single"/>
        </w:rPr>
        <w:t>Termination</w:t>
      </w:r>
      <w:r>
        <w:t>: This MOU may be terminated (a) by either party at any time for failure of the other party to comply with the terms and conditions of this Agreement; (b) by either party with thirty days' prior written notice to the other party; or (c) upon mutual written Agreement by both parties. This MOU shall be effective on the date it is signed by all parties and shall continue in effect for five years, unless terminated as provided in this section.</w:t>
      </w:r>
    </w:p>
    <w:p w14:paraId="239D0744" w14:textId="77777777" w:rsidR="009924A8" w:rsidRDefault="009924A8" w:rsidP="009924A8">
      <w:pPr>
        <w:pStyle w:val="ListParagraph"/>
        <w:numPr>
          <w:ilvl w:val="0"/>
          <w:numId w:val="6"/>
        </w:numPr>
        <w:contextualSpacing w:val="0"/>
      </w:pPr>
      <w:r w:rsidRPr="003D70D9">
        <w:rPr>
          <w:u w:val="single"/>
        </w:rPr>
        <w:lastRenderedPageBreak/>
        <w:t>Entire Agreement</w:t>
      </w:r>
      <w:r>
        <w:t xml:space="preserve">: This MOU consisting of </w:t>
      </w:r>
      <w:r>
        <w:rPr>
          <w:highlight w:val="yellow"/>
        </w:rPr>
        <w:t>eight</w:t>
      </w:r>
      <w:r w:rsidRPr="003D70D9">
        <w:rPr>
          <w:highlight w:val="yellow"/>
        </w:rPr>
        <w:t xml:space="preserve"> pages</w:t>
      </w:r>
      <w:r>
        <w:t xml:space="preserve"> represents the entire and integrated Agreement and understanding between the parties and supersedes all prior negotiations, statements, representations, and agreements, whether written or oral. </w:t>
      </w:r>
    </w:p>
    <w:p w14:paraId="5A2C88A7" w14:textId="77777777" w:rsidR="009924A8" w:rsidRDefault="009924A8" w:rsidP="009924A8">
      <w:pPr>
        <w:pStyle w:val="ListParagraph"/>
        <w:numPr>
          <w:ilvl w:val="0"/>
          <w:numId w:val="6"/>
        </w:numPr>
        <w:contextualSpacing w:val="0"/>
      </w:pPr>
      <w:r w:rsidRPr="003D70D9">
        <w:rPr>
          <w:u w:val="single"/>
        </w:rPr>
        <w:t>Modifications</w:t>
      </w:r>
      <w:r>
        <w:t xml:space="preserve">: Modifications within the scope of this MOU shall be made by mutual consent of the parties, by the issuance of a written modification, signed and dated by all parties, prior to any changes being performed. </w:t>
      </w:r>
    </w:p>
    <w:p w14:paraId="79835D69" w14:textId="77777777" w:rsidR="009924A8" w:rsidRDefault="009924A8" w:rsidP="009924A8">
      <w:pPr>
        <w:pStyle w:val="ListParagraph"/>
        <w:numPr>
          <w:ilvl w:val="0"/>
          <w:numId w:val="6"/>
        </w:numPr>
        <w:contextualSpacing w:val="0"/>
      </w:pPr>
      <w:r w:rsidRPr="00DA4F7B">
        <w:rPr>
          <w:u w:val="single"/>
        </w:rPr>
        <w:t>Invalidity/Severability</w:t>
      </w:r>
      <w:r>
        <w:t xml:space="preserve">: If any provision of this MOU is held invalid, void, or unenforceable by any court of competent jurisdiction, or if either party is advised of any such actual or potential invalidity or unenforceability, such </w:t>
      </w:r>
      <w:proofErr w:type="gramStart"/>
      <w:r>
        <w:t>holding</w:t>
      </w:r>
      <w:proofErr w:type="gramEnd"/>
      <w:r>
        <w:t xml:space="preserve"> or advice shall not invalidate or render unenforceable any other provision hereof. The remainder of the provision of this MOU shall remain in full force and effect and shall in no way be affected, impaired, or otherwise invalidated. It is the express intent of the parties that the provisions of this MOU are fully severable. </w:t>
      </w:r>
    </w:p>
    <w:p w14:paraId="3FA370D1" w14:textId="77777777" w:rsidR="009924A8" w:rsidRDefault="009924A8" w:rsidP="009924A8">
      <w:pPr>
        <w:pStyle w:val="ListParagraph"/>
        <w:numPr>
          <w:ilvl w:val="0"/>
          <w:numId w:val="6"/>
        </w:numPr>
        <w:contextualSpacing w:val="0"/>
      </w:pPr>
      <w:r w:rsidRPr="00B77C7D">
        <w:rPr>
          <w:u w:val="single"/>
        </w:rPr>
        <w:t>Applicable Law and Venue</w:t>
      </w:r>
      <w:r>
        <w:t xml:space="preserve">: The parties mutually understand and agree that this MOU shall be governed by and interpreted pursuant to the laws of the State of </w:t>
      </w:r>
      <w:r w:rsidRPr="00DA4F7B">
        <w:rPr>
          <w:highlight w:val="yellow"/>
        </w:rPr>
        <w:t>_______.</w:t>
      </w:r>
      <w:r>
        <w:t xml:space="preserve"> </w:t>
      </w:r>
    </w:p>
    <w:p w14:paraId="7C2BDC83" w14:textId="77777777" w:rsidR="009924A8" w:rsidRDefault="009924A8" w:rsidP="009924A8">
      <w:pPr>
        <w:pStyle w:val="ListParagraph"/>
        <w:numPr>
          <w:ilvl w:val="0"/>
          <w:numId w:val="6"/>
        </w:numPr>
        <w:contextualSpacing w:val="0"/>
      </w:pPr>
      <w:r w:rsidRPr="00B77C7D">
        <w:rPr>
          <w:u w:val="single"/>
        </w:rPr>
        <w:t>Discrimination</w:t>
      </w:r>
      <w:r>
        <w:t xml:space="preserve">: Neither party to this MOU shall discriminate because of </w:t>
      </w:r>
      <w:r w:rsidRPr="00276BB6">
        <w:t xml:space="preserve">race, color, religion, sex, sexual orientation, gender identity and expression, ancestry, national origin, age, marital status, genetic information, pregnancy, pregnancy disability, </w:t>
      </w:r>
      <w:r>
        <w:t xml:space="preserve">or </w:t>
      </w:r>
      <w:r w:rsidRPr="00276BB6">
        <w:t>mental or physical disability or because he or she is a protected veteran</w:t>
      </w:r>
      <w:r>
        <w:t xml:space="preserve"> </w:t>
      </w:r>
      <w:r w:rsidRPr="00276BB6">
        <w:t>or any other characteristic protected by federal, state, or local law</w:t>
      </w:r>
      <w:r>
        <w:t>, in any facet of its operation. The parties further agree to comply with the provisions set forth in the Americans with Disabilities Act and/or any properly promulgated rules and regulations relating thereto.</w:t>
      </w:r>
    </w:p>
    <w:p w14:paraId="39B77E95" w14:textId="77777777" w:rsidR="009924A8" w:rsidRDefault="009924A8" w:rsidP="009924A8">
      <w:pPr>
        <w:pStyle w:val="ListParagraph"/>
        <w:numPr>
          <w:ilvl w:val="0"/>
          <w:numId w:val="6"/>
        </w:numPr>
        <w:contextualSpacing w:val="0"/>
      </w:pPr>
      <w:r w:rsidRPr="003018EE">
        <w:rPr>
          <w:u w:val="single"/>
        </w:rPr>
        <w:t>Third Parties</w:t>
      </w:r>
      <w:r>
        <w:t>: The parties do not intend to create in any other individual or entity the status of a third-party beneficiary, and this MOU shall not be construed to create such a status. The rights, duties, and obligations contained in this MOU shall operate only between the parties to the MOU and shall inure solely to the benefit of the parties of the MOU.</w:t>
      </w:r>
    </w:p>
    <w:p w14:paraId="4F7FF0AC" w14:textId="77777777" w:rsidR="009924A8" w:rsidRDefault="009924A8" w:rsidP="009924A8">
      <w:pPr>
        <w:pStyle w:val="ListParagraph"/>
        <w:numPr>
          <w:ilvl w:val="0"/>
          <w:numId w:val="6"/>
        </w:numPr>
        <w:contextualSpacing w:val="0"/>
      </w:pPr>
      <w:r w:rsidRPr="003018EE">
        <w:rPr>
          <w:u w:val="single"/>
        </w:rPr>
        <w:t>Force Majeure</w:t>
      </w:r>
      <w:r>
        <w:t xml:space="preserve">: Neither party shall be liable to perform under the MOU if such failure arises out of issues beyond control and without the fault or negligence of said party. Such causes may include, but are not restricted to, an act of God or the public enemy, fires, floods, epidemics, quarantine restrictions, freight embargoes, or unusually severe weather or natural disasters. In every case, however, a failure to perform must be beyond the control and without the fault or the negligence of said party. </w:t>
      </w:r>
    </w:p>
    <w:p w14:paraId="7A40C874" w14:textId="77777777" w:rsidR="009924A8" w:rsidRDefault="009924A8" w:rsidP="009924A8">
      <w:pPr>
        <w:pStyle w:val="ListParagraph"/>
        <w:numPr>
          <w:ilvl w:val="0"/>
          <w:numId w:val="6"/>
        </w:numPr>
        <w:contextualSpacing w:val="0"/>
      </w:pPr>
      <w:r>
        <w:rPr>
          <w:u w:val="single"/>
        </w:rPr>
        <w:t>Indemnification</w:t>
      </w:r>
      <w:r>
        <w:t xml:space="preserve">: </w:t>
      </w:r>
      <w:r w:rsidRPr="003018EE">
        <w:rPr>
          <w:highlight w:val="yellow"/>
        </w:rPr>
        <w:t>IPBHS</w:t>
      </w:r>
      <w:r>
        <w:t xml:space="preserve"> hereby agrees to indemnify, defend, and hold harmless </w:t>
      </w:r>
      <w:r w:rsidRPr="003018EE">
        <w:rPr>
          <w:highlight w:val="yellow"/>
        </w:rPr>
        <w:t>OPBHS</w:t>
      </w:r>
      <w:r>
        <w:t xml:space="preserve">, physicians, and other staff working at </w:t>
      </w:r>
      <w:r w:rsidRPr="003018EE">
        <w:rPr>
          <w:highlight w:val="yellow"/>
        </w:rPr>
        <w:t>OPBHS</w:t>
      </w:r>
      <w:r>
        <w:t xml:space="preserve"> from and against </w:t>
      </w:r>
      <w:proofErr w:type="gramStart"/>
      <w:r>
        <w:t>any and all</w:t>
      </w:r>
      <w:proofErr w:type="gramEnd"/>
      <w:r>
        <w:t xml:space="preserve"> claims, judgments, costs, liabilities, damages, and expenses, including reasonable attorney's fees, arising from the negligent provision of services, intentional misconduct, or other wrongful acts by </w:t>
      </w:r>
      <w:r w:rsidRPr="003018EE">
        <w:rPr>
          <w:highlight w:val="yellow"/>
        </w:rPr>
        <w:t>IPBHS</w:t>
      </w:r>
      <w:r>
        <w:t xml:space="preserve"> or its employees, acting or purporting to act within the scope of their duties under the terms of this MOU. </w:t>
      </w:r>
      <w:r w:rsidRPr="003018EE">
        <w:rPr>
          <w:highlight w:val="yellow"/>
        </w:rPr>
        <w:t>OPBHS</w:t>
      </w:r>
      <w:r>
        <w:t xml:space="preserve"> hereby agrees to indemnify,</w:t>
      </w:r>
      <w:r w:rsidRPr="003018EE">
        <w:t xml:space="preserve"> </w:t>
      </w:r>
      <w:r>
        <w:t xml:space="preserve">defend, and hold harmless </w:t>
      </w:r>
      <w:r>
        <w:rPr>
          <w:highlight w:val="yellow"/>
        </w:rPr>
        <w:t>I</w:t>
      </w:r>
      <w:r w:rsidRPr="003018EE">
        <w:rPr>
          <w:highlight w:val="yellow"/>
        </w:rPr>
        <w:t>PBHS</w:t>
      </w:r>
      <w:r>
        <w:t xml:space="preserve">, physicians, and other staff working at </w:t>
      </w:r>
      <w:r>
        <w:rPr>
          <w:highlight w:val="yellow"/>
        </w:rPr>
        <w:t>I</w:t>
      </w:r>
      <w:r w:rsidRPr="003018EE">
        <w:rPr>
          <w:highlight w:val="yellow"/>
        </w:rPr>
        <w:t>PBHS</w:t>
      </w:r>
      <w:r>
        <w:t xml:space="preserve"> from and against </w:t>
      </w:r>
      <w:proofErr w:type="gramStart"/>
      <w:r>
        <w:t>any and all</w:t>
      </w:r>
      <w:proofErr w:type="gramEnd"/>
      <w:r>
        <w:t xml:space="preserve"> claims, judgments, costs, liabilities, damages, and expenses, including reasonable attorney's fees, arising from the negligent provision of services, intentional misconduct, or other wrongful acts by </w:t>
      </w:r>
      <w:r>
        <w:rPr>
          <w:highlight w:val="yellow"/>
        </w:rPr>
        <w:t>O</w:t>
      </w:r>
      <w:r w:rsidRPr="003018EE">
        <w:rPr>
          <w:highlight w:val="yellow"/>
        </w:rPr>
        <w:t>PBHS</w:t>
      </w:r>
      <w:r>
        <w:t xml:space="preserve"> or its employees, acting or purporting to act within the scope of their duties under the terms of this MOU. The terms of this paragraph shall survive the termination of this MOU.</w:t>
      </w:r>
    </w:p>
    <w:p w14:paraId="2256FF68" w14:textId="77777777" w:rsidR="009924A8" w:rsidRDefault="009924A8" w:rsidP="009924A8">
      <w:pPr>
        <w:pStyle w:val="ListParagraph"/>
        <w:numPr>
          <w:ilvl w:val="0"/>
          <w:numId w:val="6"/>
        </w:numPr>
        <w:contextualSpacing w:val="0"/>
      </w:pPr>
      <w:r w:rsidRPr="008712CD">
        <w:rPr>
          <w:u w:val="single"/>
        </w:rPr>
        <w:t>Confidentiality of Patient Information</w:t>
      </w:r>
      <w:r>
        <w:t xml:space="preserve">: </w:t>
      </w:r>
      <w:r w:rsidRPr="00FA7CDB">
        <w:t>The purpose of this provision is to ensure</w:t>
      </w:r>
      <w:r>
        <w:t xml:space="preserve"> </w:t>
      </w:r>
      <w:r w:rsidRPr="00FA7CDB">
        <w:t xml:space="preserve">that </w:t>
      </w:r>
      <w:r w:rsidRPr="008712CD">
        <w:rPr>
          <w:highlight w:val="yellow"/>
        </w:rPr>
        <w:t>IPBHS</w:t>
      </w:r>
      <w:r w:rsidRPr="00FA7CDB">
        <w:t xml:space="preserve"> </w:t>
      </w:r>
      <w:r>
        <w:t xml:space="preserve">and </w:t>
      </w:r>
      <w:r w:rsidRPr="008712CD">
        <w:rPr>
          <w:highlight w:val="yellow"/>
        </w:rPr>
        <w:t>OPBHS</w:t>
      </w:r>
      <w:r>
        <w:t xml:space="preserve"> </w:t>
      </w:r>
      <w:r w:rsidRPr="00FA7CDB">
        <w:t xml:space="preserve">as </w:t>
      </w:r>
      <w:r>
        <w:t>c</w:t>
      </w:r>
      <w:r w:rsidRPr="00FA7CDB">
        <w:t xml:space="preserve">overed </w:t>
      </w:r>
      <w:r>
        <w:t>e</w:t>
      </w:r>
      <w:r w:rsidRPr="00FA7CDB">
        <w:t>ntit</w:t>
      </w:r>
      <w:r>
        <w:t xml:space="preserve">ies </w:t>
      </w:r>
      <w:r w:rsidRPr="00FA7CDB">
        <w:t xml:space="preserve">meet </w:t>
      </w:r>
      <w:r>
        <w:t>their</w:t>
      </w:r>
      <w:r w:rsidRPr="00FA7CDB">
        <w:t xml:space="preserve"> obligations under the Health Insurance Portability and</w:t>
      </w:r>
      <w:r>
        <w:t xml:space="preserve"> </w:t>
      </w:r>
      <w:r w:rsidRPr="00FA7CDB">
        <w:t>Accountability Act of 1996 (</w:t>
      </w:r>
      <w:r>
        <w:t>“</w:t>
      </w:r>
      <w:r w:rsidRPr="00FA7CDB">
        <w:t>HIPAA</w:t>
      </w:r>
      <w:r>
        <w:t>”</w:t>
      </w:r>
      <w:r w:rsidRPr="00FA7CDB">
        <w:t>) and under the regulations promulgated thereto, the</w:t>
      </w:r>
      <w:r>
        <w:t xml:space="preserve"> </w:t>
      </w:r>
      <w:r w:rsidRPr="00FA7CDB">
        <w:t xml:space="preserve">Standards </w:t>
      </w:r>
      <w:r w:rsidRPr="00FA7CDB">
        <w:lastRenderedPageBreak/>
        <w:t>for Privacy of Individually Identifiable Health Information and the Security Standards</w:t>
      </w:r>
      <w:r>
        <w:t xml:space="preserve"> </w:t>
      </w:r>
      <w:r w:rsidRPr="00FA7CDB">
        <w:t>(45 C.F.R. Parts 160, 162 and 164, issued by the Department of Health and Human Services,</w:t>
      </w:r>
      <w:r>
        <w:t xml:space="preserve"> </w:t>
      </w:r>
      <w:r w:rsidRPr="00FA7CDB">
        <w:t xml:space="preserve">hereinafter referred to as the Privacy and Security Regulations). </w:t>
      </w:r>
      <w:r w:rsidRPr="008712CD">
        <w:rPr>
          <w:highlight w:val="yellow"/>
        </w:rPr>
        <w:t>OPBHS</w:t>
      </w:r>
      <w:r w:rsidRPr="00FA7CDB">
        <w:t xml:space="preserve"> acknowledges that medical</w:t>
      </w:r>
      <w:r>
        <w:t xml:space="preserve"> </w:t>
      </w:r>
      <w:r w:rsidRPr="00FA7CDB">
        <w:t xml:space="preserve">information, including payment information, regarding </w:t>
      </w:r>
      <w:r w:rsidRPr="008712CD">
        <w:rPr>
          <w:highlight w:val="yellow"/>
        </w:rPr>
        <w:t>IPBHS</w:t>
      </w:r>
      <w:r>
        <w:rPr>
          <w:highlight w:val="yellow"/>
        </w:rPr>
        <w:t>'</w:t>
      </w:r>
      <w:r w:rsidRPr="008712CD">
        <w:rPr>
          <w:highlight w:val="yellow"/>
        </w:rPr>
        <w:t>s</w:t>
      </w:r>
      <w:r w:rsidRPr="00FA7CDB">
        <w:t xml:space="preserve"> patients must be kept</w:t>
      </w:r>
      <w:r>
        <w:t xml:space="preserve"> </w:t>
      </w:r>
      <w:r w:rsidRPr="00FA7CDB">
        <w:t xml:space="preserve">confidential. The parties understand and agree that the </w:t>
      </w:r>
      <w:r>
        <w:t>p</w:t>
      </w:r>
      <w:r w:rsidRPr="00FA7CDB">
        <w:t xml:space="preserve">rivacy and/or </w:t>
      </w:r>
      <w:r>
        <w:t>s</w:t>
      </w:r>
      <w:r w:rsidRPr="00FA7CDB">
        <w:t xml:space="preserve">ecurity </w:t>
      </w:r>
      <w:r>
        <w:t>r</w:t>
      </w:r>
      <w:r w:rsidRPr="00FA7CDB">
        <w:t>egulations</w:t>
      </w:r>
      <w:r>
        <w:t xml:space="preserve"> </w:t>
      </w:r>
      <w:r w:rsidRPr="00FA7CDB">
        <w:t xml:space="preserve">apply to the use and disclosure of </w:t>
      </w:r>
      <w:r>
        <w:t>p</w:t>
      </w:r>
      <w:r w:rsidRPr="00FA7CDB">
        <w:t xml:space="preserve">rotected </w:t>
      </w:r>
      <w:r>
        <w:t>h</w:t>
      </w:r>
      <w:r w:rsidRPr="00FA7CDB">
        <w:t xml:space="preserve">ealth </w:t>
      </w:r>
      <w:r>
        <w:t>i</w:t>
      </w:r>
      <w:r w:rsidRPr="00FA7CDB">
        <w:t>nformation (as that term is defined in</w:t>
      </w:r>
      <w:r>
        <w:t xml:space="preserve"> </w:t>
      </w:r>
      <w:r w:rsidRPr="00FA7CDB">
        <w:t>HIPAA)</w:t>
      </w:r>
      <w:r>
        <w:t>,</w:t>
      </w:r>
      <w:r w:rsidRPr="00FA7CDB">
        <w:t xml:space="preserve"> which may occur in fulfilling the duties and responsibilities delineated in the</w:t>
      </w:r>
      <w:r>
        <w:t xml:space="preserve"> </w:t>
      </w:r>
      <w:r w:rsidRPr="00FA7CDB">
        <w:t xml:space="preserve">Agreement. </w:t>
      </w:r>
      <w:r w:rsidRPr="008712CD">
        <w:rPr>
          <w:highlight w:val="yellow"/>
        </w:rPr>
        <w:t>OPBHS</w:t>
      </w:r>
      <w:r w:rsidRPr="00FA7CDB">
        <w:t xml:space="preserve"> agrees that any </w:t>
      </w:r>
      <w:r>
        <w:t>p</w:t>
      </w:r>
      <w:r w:rsidRPr="00FA7CDB">
        <w:t xml:space="preserve">rotected </w:t>
      </w:r>
      <w:r>
        <w:t>h</w:t>
      </w:r>
      <w:r w:rsidRPr="00FA7CDB">
        <w:t xml:space="preserve">ealth </w:t>
      </w:r>
      <w:r>
        <w:t>i</w:t>
      </w:r>
      <w:r w:rsidRPr="00FA7CDB">
        <w:t>nformation that it receives directly or</w:t>
      </w:r>
      <w:r>
        <w:t xml:space="preserve"> </w:t>
      </w:r>
      <w:r w:rsidRPr="00FA7CDB">
        <w:t xml:space="preserve">indirectly, </w:t>
      </w:r>
      <w:proofErr w:type="gramStart"/>
      <w:r w:rsidRPr="00FA7CDB">
        <w:t>whether or not</w:t>
      </w:r>
      <w:proofErr w:type="gramEnd"/>
      <w:r w:rsidRPr="00FA7CDB">
        <w:t xml:space="preserve"> inadvertently, through its employees or agents, regarding </w:t>
      </w:r>
      <w:r w:rsidRPr="008712CD">
        <w:rPr>
          <w:highlight w:val="yellow"/>
        </w:rPr>
        <w:t>IPBHS</w:t>
      </w:r>
      <w:r>
        <w:rPr>
          <w:highlight w:val="yellow"/>
        </w:rPr>
        <w:t>'</w:t>
      </w:r>
      <w:r>
        <w:t xml:space="preserve"> </w:t>
      </w:r>
      <w:r w:rsidRPr="00FA7CDB">
        <w:t>patients shall be treated as confidential in compliance with all state and federal laws, including</w:t>
      </w:r>
      <w:r>
        <w:t xml:space="preserve"> </w:t>
      </w:r>
      <w:r w:rsidRPr="00FA7CDB">
        <w:t xml:space="preserve">but not limited to HIPAA and the privacy and security regulations. </w:t>
      </w:r>
      <w:r>
        <w:t xml:space="preserve">OPBHS will not use or further disclose patient information other than as provided for by this Agreement. The parties agree to use appropriate safeguards to prevent the use or disclosure of patient information other than as provided for by this Agreement and agree to report any use or disclosure of patient information not provided for by this Agreement of which the parties become aware. </w:t>
      </w:r>
      <w:r w:rsidRPr="00FA7CDB">
        <w:t xml:space="preserve">Furthermore, </w:t>
      </w:r>
      <w:r w:rsidRPr="008712CD">
        <w:rPr>
          <w:highlight w:val="yellow"/>
        </w:rPr>
        <w:t>OPBHS</w:t>
      </w:r>
      <w:r w:rsidRPr="00FA7CDB">
        <w:t xml:space="preserve"> agrees</w:t>
      </w:r>
      <w:r>
        <w:t xml:space="preserve"> </w:t>
      </w:r>
      <w:r w:rsidRPr="00FA7CDB">
        <w:t>to execute any necessary documents to comply with such state and federal laws and regulations,</w:t>
      </w:r>
      <w:r>
        <w:t xml:space="preserve"> </w:t>
      </w:r>
      <w:r w:rsidRPr="00FA7CDB">
        <w:t xml:space="preserve">including a </w:t>
      </w:r>
      <w:r>
        <w:t>b</w:t>
      </w:r>
      <w:r w:rsidRPr="00FA7CDB">
        <w:t xml:space="preserve">usiness </w:t>
      </w:r>
      <w:r>
        <w:t>a</w:t>
      </w:r>
      <w:r w:rsidRPr="00FA7CDB">
        <w:t xml:space="preserve">ssociate </w:t>
      </w:r>
      <w:r>
        <w:t>a</w:t>
      </w:r>
      <w:r w:rsidRPr="00FA7CDB">
        <w:t>greement, if necessary.</w:t>
      </w:r>
      <w:r>
        <w:t xml:space="preserve"> The parties mutually acknowledge and agree that a break of this section may result in termination of this Agreement.</w:t>
      </w:r>
    </w:p>
    <w:p w14:paraId="7E90F698" w14:textId="77777777" w:rsidR="009924A8" w:rsidRDefault="009924A8" w:rsidP="009924A8">
      <w:pPr>
        <w:pStyle w:val="ListParagraph"/>
        <w:numPr>
          <w:ilvl w:val="0"/>
          <w:numId w:val="6"/>
        </w:numPr>
        <w:contextualSpacing w:val="0"/>
      </w:pPr>
      <w:r w:rsidRPr="008712CD">
        <w:rPr>
          <w:u w:val="single"/>
        </w:rPr>
        <w:t>Regulatory Compliance</w:t>
      </w:r>
      <w:r>
        <w:t xml:space="preserve">: </w:t>
      </w:r>
      <w:r w:rsidRPr="008712CD">
        <w:t xml:space="preserve">The parties acknowledge their intent that this contract, and all services performed hereunder, shall </w:t>
      </w:r>
      <w:proofErr w:type="gramStart"/>
      <w:r w:rsidRPr="008712CD">
        <w:t>be in compliance with</w:t>
      </w:r>
      <w:proofErr w:type="gramEnd"/>
      <w:r w:rsidRPr="008712CD">
        <w:t xml:space="preserve"> all applicable federal and state regulatory standards, all Joint Commission and CMS standards, all </w:t>
      </w:r>
      <w:r>
        <w:t>h</w:t>
      </w:r>
      <w:r w:rsidRPr="008712CD">
        <w:t>ospital policies and procedures</w:t>
      </w:r>
      <w:r>
        <w:t>,</w:t>
      </w:r>
      <w:r w:rsidRPr="008712CD">
        <w:t xml:space="preserve"> and any other agency regulatory standards or those promulgated or required by third-party pay</w:t>
      </w:r>
      <w:r>
        <w:t>e</w:t>
      </w:r>
      <w:r w:rsidRPr="008712CD">
        <w:t xml:space="preserve">rs, whether currently existing or created during the term of the </w:t>
      </w:r>
      <w:r>
        <w:t>A</w:t>
      </w:r>
      <w:r w:rsidRPr="008712CD">
        <w:t xml:space="preserve">greement. Without limiting the foregoing, the parties agree that each will comply with the provisions of Title VI of the Civil Rights Act of 1964, and specifically, that each party hereto agrees not to discriminate on the basis of </w:t>
      </w:r>
      <w:r w:rsidRPr="00276BB6">
        <w:t xml:space="preserve">race, color, religion, sex, sexual orientation, gender identity and expression, ancestry, national origin, age, marital status, genetic information, pregnancy, pregnancy disability, </w:t>
      </w:r>
      <w:r>
        <w:t xml:space="preserve">or </w:t>
      </w:r>
      <w:r w:rsidRPr="00276BB6">
        <w:t>mental or physical disability or because he or she is a protected veteran</w:t>
      </w:r>
      <w:r>
        <w:t xml:space="preserve"> </w:t>
      </w:r>
      <w:r w:rsidRPr="00276BB6">
        <w:t>or any other characteristic protected by federal, state, or local law</w:t>
      </w:r>
      <w:r w:rsidRPr="008712CD">
        <w:t xml:space="preserve"> in administration of its policies, programs, employment, services</w:t>
      </w:r>
      <w:r>
        <w:t>,</w:t>
      </w:r>
      <w:r w:rsidRPr="008712CD">
        <w:t xml:space="preserve"> or activities. </w:t>
      </w:r>
    </w:p>
    <w:p w14:paraId="3613226B" w14:textId="51456EEE" w:rsidR="00F42793" w:rsidRDefault="009924A8" w:rsidP="009924A8">
      <w:pPr>
        <w:pStyle w:val="ListParagraph"/>
        <w:numPr>
          <w:ilvl w:val="0"/>
          <w:numId w:val="6"/>
        </w:numPr>
      </w:pPr>
      <w:r>
        <w:rPr>
          <w:u w:val="single"/>
        </w:rPr>
        <w:t>Authority</w:t>
      </w:r>
      <w:r>
        <w:t xml:space="preserve">: By signature below, the parties acknowledge they have read and understood the foregoing and hold the authority to bind the respective parties by their signature. </w:t>
      </w:r>
    </w:p>
    <w:p w14:paraId="30D0899C" w14:textId="77777777" w:rsidR="00F42793" w:rsidRDefault="00F42793" w:rsidP="009924A8"/>
    <w:p w14:paraId="211EA4E0" w14:textId="171C3957" w:rsidR="009924A8" w:rsidRDefault="009924A8" w:rsidP="009924A8">
      <w:r>
        <w:t>By:</w:t>
      </w:r>
    </w:p>
    <w:p w14:paraId="2FA7D781" w14:textId="77777777" w:rsidR="009924A8" w:rsidRDefault="009924A8" w:rsidP="009924A8">
      <w:pPr>
        <w:spacing w:after="0"/>
      </w:pPr>
      <w:r>
        <w:t>_____________________________</w:t>
      </w:r>
      <w:r>
        <w:tab/>
      </w:r>
      <w:r>
        <w:tab/>
      </w:r>
      <w:r>
        <w:tab/>
      </w:r>
      <w:r>
        <w:tab/>
        <w:t>______________________________</w:t>
      </w:r>
    </w:p>
    <w:p w14:paraId="55033732" w14:textId="77777777" w:rsidR="009924A8" w:rsidRDefault="009924A8" w:rsidP="00F42793">
      <w:pPr>
        <w:spacing w:before="0" w:after="0" w:line="240" w:lineRule="auto"/>
      </w:pPr>
      <w:r>
        <w:t>FACILITY</w:t>
      </w:r>
      <w:r>
        <w:tab/>
      </w:r>
      <w:r>
        <w:tab/>
      </w:r>
      <w:r>
        <w:tab/>
      </w:r>
      <w:r>
        <w:tab/>
      </w:r>
      <w:r>
        <w:tab/>
      </w:r>
      <w:r>
        <w:tab/>
      </w:r>
      <w:r>
        <w:tab/>
      </w:r>
      <w:proofErr w:type="spellStart"/>
      <w:r>
        <w:t>FACILITY</w:t>
      </w:r>
      <w:proofErr w:type="spellEnd"/>
    </w:p>
    <w:p w14:paraId="77695001" w14:textId="77777777" w:rsidR="009924A8" w:rsidRDefault="009924A8" w:rsidP="009924A8">
      <w:pPr>
        <w:spacing w:after="0"/>
      </w:pPr>
    </w:p>
    <w:p w14:paraId="1E2F2436" w14:textId="77777777" w:rsidR="009924A8" w:rsidRDefault="009924A8" w:rsidP="009924A8">
      <w:pPr>
        <w:spacing w:after="0"/>
      </w:pPr>
      <w:r>
        <w:t>_____________________________</w:t>
      </w:r>
      <w:r>
        <w:tab/>
      </w:r>
      <w:r>
        <w:tab/>
      </w:r>
      <w:r>
        <w:tab/>
      </w:r>
      <w:r>
        <w:tab/>
        <w:t>______________________________</w:t>
      </w:r>
    </w:p>
    <w:p w14:paraId="118CEA2F" w14:textId="77777777" w:rsidR="009924A8" w:rsidRDefault="009924A8" w:rsidP="00F42793">
      <w:pPr>
        <w:spacing w:before="0" w:after="0" w:line="240" w:lineRule="auto"/>
      </w:pPr>
      <w:r>
        <w:t>NAME</w:t>
      </w:r>
      <w:r>
        <w:tab/>
      </w:r>
      <w:r>
        <w:tab/>
      </w:r>
      <w:r>
        <w:tab/>
      </w:r>
      <w:r>
        <w:tab/>
      </w:r>
      <w:r>
        <w:tab/>
      </w:r>
      <w:r>
        <w:tab/>
      </w:r>
      <w:r>
        <w:tab/>
      </w:r>
      <w:r>
        <w:tab/>
      </w:r>
      <w:proofErr w:type="spellStart"/>
      <w:r>
        <w:t>NAME</w:t>
      </w:r>
      <w:proofErr w:type="spellEnd"/>
    </w:p>
    <w:p w14:paraId="6600DA40" w14:textId="77777777" w:rsidR="009924A8" w:rsidRDefault="009924A8" w:rsidP="009924A8">
      <w:pPr>
        <w:spacing w:after="0"/>
      </w:pPr>
    </w:p>
    <w:p w14:paraId="49C1A689" w14:textId="77777777" w:rsidR="009924A8" w:rsidRDefault="009924A8" w:rsidP="009924A8">
      <w:pPr>
        <w:spacing w:after="0"/>
      </w:pPr>
      <w:r>
        <w:t>_____________________________</w:t>
      </w:r>
      <w:r>
        <w:tab/>
      </w:r>
      <w:r>
        <w:tab/>
      </w:r>
      <w:r>
        <w:tab/>
      </w:r>
      <w:r>
        <w:tab/>
        <w:t>______________________________</w:t>
      </w:r>
    </w:p>
    <w:p w14:paraId="251EB515" w14:textId="77777777" w:rsidR="009924A8" w:rsidRDefault="009924A8" w:rsidP="00F42793">
      <w:pPr>
        <w:spacing w:before="0" w:after="0" w:line="240" w:lineRule="auto"/>
      </w:pPr>
      <w:r>
        <w:t>TITLE</w:t>
      </w:r>
      <w:r>
        <w:tab/>
      </w:r>
      <w:r>
        <w:tab/>
      </w:r>
      <w:r>
        <w:tab/>
      </w:r>
      <w:r>
        <w:tab/>
      </w:r>
      <w:r>
        <w:tab/>
      </w:r>
      <w:r>
        <w:tab/>
      </w:r>
      <w:r>
        <w:tab/>
      </w:r>
      <w:r>
        <w:tab/>
      </w:r>
      <w:proofErr w:type="spellStart"/>
      <w:r>
        <w:t>TITLE</w:t>
      </w:r>
      <w:proofErr w:type="spellEnd"/>
    </w:p>
    <w:p w14:paraId="26159BE8" w14:textId="77777777" w:rsidR="009924A8" w:rsidRDefault="009924A8" w:rsidP="009924A8">
      <w:pPr>
        <w:spacing w:after="0"/>
      </w:pPr>
    </w:p>
    <w:p w14:paraId="260ACC61" w14:textId="77777777" w:rsidR="009924A8" w:rsidRDefault="009924A8" w:rsidP="009924A8">
      <w:pPr>
        <w:spacing w:after="0"/>
      </w:pPr>
      <w:r>
        <w:t>_____________________________</w:t>
      </w:r>
      <w:r>
        <w:tab/>
      </w:r>
      <w:r>
        <w:tab/>
      </w:r>
      <w:r>
        <w:tab/>
      </w:r>
      <w:r>
        <w:tab/>
        <w:t>______________________________</w:t>
      </w:r>
    </w:p>
    <w:p w14:paraId="0849AC6D" w14:textId="67559B80" w:rsidR="00CA0D41" w:rsidRDefault="009924A8" w:rsidP="00F42793">
      <w:pPr>
        <w:spacing w:before="0" w:after="0" w:line="240" w:lineRule="auto"/>
      </w:pPr>
      <w:r>
        <w:lastRenderedPageBreak/>
        <w:t>DATE</w:t>
      </w:r>
      <w:r>
        <w:tab/>
      </w:r>
      <w:r>
        <w:tab/>
      </w:r>
      <w:r>
        <w:tab/>
      </w:r>
      <w:r>
        <w:tab/>
      </w:r>
      <w:r>
        <w:tab/>
      </w:r>
      <w:r>
        <w:tab/>
      </w:r>
      <w:r>
        <w:tab/>
      </w:r>
      <w:r>
        <w:tab/>
      </w:r>
      <w:proofErr w:type="spellStart"/>
      <w:r>
        <w:t>DATE</w:t>
      </w:r>
      <w:proofErr w:type="spellEnd"/>
    </w:p>
    <w:sectPr w:rsidR="00CA0D41" w:rsidSect="009924A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6686" w14:textId="77777777" w:rsidR="002E04D0" w:rsidRDefault="002E04D0" w:rsidP="009924A8">
      <w:pPr>
        <w:spacing w:before="0" w:after="0" w:line="240" w:lineRule="auto"/>
      </w:pPr>
      <w:r>
        <w:separator/>
      </w:r>
    </w:p>
  </w:endnote>
  <w:endnote w:type="continuationSeparator" w:id="0">
    <w:p w14:paraId="04A9916D" w14:textId="77777777" w:rsidR="002E04D0" w:rsidRDefault="002E04D0" w:rsidP="009924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F72D" w14:textId="77777777" w:rsidR="00FB31CB" w:rsidRDefault="00FB3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6B56" w14:textId="29698734" w:rsidR="009924A8" w:rsidRDefault="009924A8">
    <w:pPr>
      <w:pStyle w:val="Footer"/>
    </w:pPr>
    <w:r w:rsidRPr="009924A8">
      <w:rPr>
        <w:noProof/>
      </w:rPr>
      <w:drawing>
        <wp:anchor distT="0" distB="0" distL="114300" distR="114300" simplePos="0" relativeHeight="251662336" behindDoc="0" locked="0" layoutInCell="1" allowOverlap="1" wp14:anchorId="387E03AA" wp14:editId="01CCC26D">
          <wp:simplePos x="0" y="0"/>
          <wp:positionH relativeFrom="column">
            <wp:posOffset>1456690</wp:posOffset>
          </wp:positionH>
          <wp:positionV relativeFrom="paragraph">
            <wp:posOffset>242570</wp:posOffset>
          </wp:positionV>
          <wp:extent cx="823595" cy="433070"/>
          <wp:effectExtent l="0" t="0" r="190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595" cy="433070"/>
                  </a:xfrm>
                  <a:prstGeom prst="rect">
                    <a:avLst/>
                  </a:prstGeom>
                </pic:spPr>
              </pic:pic>
            </a:graphicData>
          </a:graphic>
          <wp14:sizeRelH relativeFrom="page">
            <wp14:pctWidth>0</wp14:pctWidth>
          </wp14:sizeRelH>
          <wp14:sizeRelV relativeFrom="page">
            <wp14:pctHeight>0</wp14:pctHeight>
          </wp14:sizeRelV>
        </wp:anchor>
      </w:drawing>
    </w:r>
    <w:r w:rsidRPr="009924A8">
      <w:rPr>
        <w:noProof/>
      </w:rPr>
      <w:drawing>
        <wp:anchor distT="0" distB="0" distL="114300" distR="114300" simplePos="0" relativeHeight="251663360" behindDoc="0" locked="0" layoutInCell="1" allowOverlap="1" wp14:anchorId="44EBAAE6" wp14:editId="276C5384">
          <wp:simplePos x="0" y="0"/>
          <wp:positionH relativeFrom="column">
            <wp:posOffset>170815</wp:posOffset>
          </wp:positionH>
          <wp:positionV relativeFrom="paragraph">
            <wp:posOffset>245110</wp:posOffset>
          </wp:positionV>
          <wp:extent cx="958215" cy="433070"/>
          <wp:effectExtent l="0" t="0" r="0" b="0"/>
          <wp:wrapNone/>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958215" cy="433070"/>
                  </a:xfrm>
                  <a:prstGeom prst="rect">
                    <a:avLst/>
                  </a:prstGeom>
                </pic:spPr>
              </pic:pic>
            </a:graphicData>
          </a:graphic>
          <wp14:sizeRelH relativeFrom="page">
            <wp14:pctWidth>0</wp14:pctWidth>
          </wp14:sizeRelH>
          <wp14:sizeRelV relativeFrom="page">
            <wp14:pctHeight>0</wp14:pctHeight>
          </wp14:sizeRelV>
        </wp:anchor>
      </w:drawing>
    </w:r>
    <w:r w:rsidRPr="009924A8">
      <w:rPr>
        <w:noProof/>
      </w:rPr>
      <mc:AlternateContent>
        <mc:Choice Requires="wps">
          <w:drawing>
            <wp:anchor distT="0" distB="0" distL="114300" distR="114300" simplePos="0" relativeHeight="251661312" behindDoc="0" locked="0" layoutInCell="1" allowOverlap="1" wp14:anchorId="092E1559" wp14:editId="067B968D">
              <wp:simplePos x="0" y="0"/>
              <wp:positionH relativeFrom="column">
                <wp:posOffset>-457200</wp:posOffset>
              </wp:positionH>
              <wp:positionV relativeFrom="paragraph">
                <wp:posOffset>53503</wp:posOffset>
              </wp:positionV>
              <wp:extent cx="8011795" cy="841375"/>
              <wp:effectExtent l="0" t="0" r="1905" b="0"/>
              <wp:wrapNone/>
              <wp:docPr id="3" name="Rectangle 3"/>
              <wp:cNvGraphicFramePr/>
              <a:graphic xmlns:a="http://schemas.openxmlformats.org/drawingml/2006/main">
                <a:graphicData uri="http://schemas.microsoft.com/office/word/2010/wordprocessingShape">
                  <wps:wsp>
                    <wps:cNvSpPr/>
                    <wps:spPr>
                      <a:xfrm>
                        <a:off x="0" y="0"/>
                        <a:ext cx="8011795" cy="841375"/>
                      </a:xfrm>
                      <a:prstGeom prst="rect">
                        <a:avLst/>
                      </a:prstGeom>
                      <a:solidFill>
                        <a:srgbClr val="7777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3EF93" id="Rectangle 3" o:spid="_x0000_s1026" style="position:absolute;margin-left:-36pt;margin-top:4.2pt;width:630.85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tAxfQIAAF8FAAAOAAAAZHJzL2Uyb0RvYy54bWysVE1v2zAMvQ/YfxB0X21nydIGdYqgRYcB&#13;&#10;RVesHXpWZCkxIIsapcTJfv0o+SNdV+wwLAdFEh8fyWdSl1eHxrC9Ql+DLXlxlnOmrISqtpuSf3+6&#13;&#10;/XDOmQ/CVsKAVSU/Ks+vlu/fXbZuoSawBVMpZERi/aJ1Jd+G4BZZ5uVWNcKfgVOWjBqwEYGOuMkq&#13;&#10;FC2xNyab5PmnrAWsHIJU3tPtTWfky8SvtZLhq9ZeBWZKTrmFtGJa13HNlpdisUHhtrXs0xD/kEUj&#13;&#10;aktBR6obEQTbYf0HVVNLBA86nEloMtC6lirVQNUU+atqHrfCqVQLiePdKJP/f7Tyfv/oHpBkaJ1f&#13;&#10;eNrGKg4am/hP+bFDEus4iqUOgUm6PM+LYn4x40yS7XxafJzPoprZyduhD58VNCxuSo70MZJGYn/n&#13;&#10;QwcdIDGYB1NXt7Ux6YCb9bVBthf04ebp17P/BjM2gi1Et44x3mSnWtIuHI2KOGO/Kc3qirKfpExS&#13;&#10;m6kxjpBS2VB0pq2oVBd+ltNviB4bM3qkShNhZNYUf+TuCQZkRzJwd1n2+OiqUpeOzvnfEuucR48U&#13;&#10;GWwYnZvaAr5FYKiqPnKHH0TqpIkqraE6PiBD6GbEO3lb03e7Ez48CKShoPGhQQ9fadEG2pJDv+Ns&#13;&#10;C/jzrfuIp14lK2ctDVnJ/Y+dQMWZ+WKpiy+K6TROZTpMZ/MJHfClZf3SYnfNNVA7FPSkOJm2ER/M&#13;&#10;sNUIzTO9B6sYlUzCSopdchlwOFyHbvjpRZFqtUowmkQnwp19dDKSR1VjXz4dngW6vnkDtf09DAMp&#13;&#10;Fq96uMNGTwurXQBdpwY/6drrTVOcGqd/ceIz8fKcUKd3cfkLAAD//wMAUEsDBBQABgAIAAAAIQA/&#13;&#10;Gujv5QAAAA8BAAAPAAAAZHJzL2Rvd25yZXYueG1sTI/BTsMwEETvSPyDtUjcWrulomkap6qKEOLQ&#13;&#10;QwtVOTrxEgfidRQ7Tfh73BNcVrsazey8bDPahl2w87UjCbOpAIZUOl1TJeH97XmSAPNBkVaNI5Tw&#13;&#10;gx42+e1NplLtBjrg5RgqFkPIp0qCCaFNOfelQav81LVIUft0nVUhnl3FdaeGGG4bPhfikVtVU/xg&#13;&#10;VIs7g+X3sbcSdv3HeagS3O+12b48vIriS5wKKe/vxqd1HNs1sIBj+HPAlSH2hzwWK1xP2rNGwmQ5&#13;&#10;j0BBQrIAdtVnyWoJrIjbQqyA5xn/z5H/AgAA//8DAFBLAQItABQABgAIAAAAIQC2gziS/gAAAOEB&#13;&#10;AAATAAAAAAAAAAAAAAAAAAAAAABbQ29udGVudF9UeXBlc10ueG1sUEsBAi0AFAAGAAgAAAAhADj9&#13;&#10;If/WAAAAlAEAAAsAAAAAAAAAAAAAAAAALwEAAF9yZWxzLy5yZWxzUEsBAi0AFAAGAAgAAAAhANPq&#13;&#10;0DF9AgAAXwUAAA4AAAAAAAAAAAAAAAAALgIAAGRycy9lMm9Eb2MueG1sUEsBAi0AFAAGAAgAAAAh&#13;&#10;AD8a6O/lAAAADwEAAA8AAAAAAAAAAAAAAAAA1wQAAGRycy9kb3ducmV2LnhtbFBLBQYAAAAABAAE&#13;&#10;APMAAADpBQAAAAA=&#13;&#10;" fillcolor="#777"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4BE4" w14:textId="2950E302" w:rsidR="009924A8" w:rsidRDefault="009924A8">
    <w:pPr>
      <w:pStyle w:val="Footer"/>
    </w:pPr>
    <w:r w:rsidRPr="009924A8">
      <w:rPr>
        <w:noProof/>
      </w:rPr>
      <w:drawing>
        <wp:anchor distT="0" distB="0" distL="114300" distR="114300" simplePos="0" relativeHeight="251670528" behindDoc="0" locked="0" layoutInCell="1" allowOverlap="1" wp14:anchorId="5543CAE4" wp14:editId="1CCF0872">
          <wp:simplePos x="0" y="0"/>
          <wp:positionH relativeFrom="column">
            <wp:posOffset>-9525</wp:posOffset>
          </wp:positionH>
          <wp:positionV relativeFrom="paragraph">
            <wp:posOffset>244475</wp:posOffset>
          </wp:positionV>
          <wp:extent cx="958215" cy="433070"/>
          <wp:effectExtent l="0" t="0" r="0" b="0"/>
          <wp:wrapNone/>
          <wp:docPr id="10" name="Picture 10"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58215" cy="433070"/>
                  </a:xfrm>
                  <a:prstGeom prst="rect">
                    <a:avLst/>
                  </a:prstGeom>
                </pic:spPr>
              </pic:pic>
            </a:graphicData>
          </a:graphic>
          <wp14:sizeRelH relativeFrom="page">
            <wp14:pctWidth>0</wp14:pctWidth>
          </wp14:sizeRelH>
          <wp14:sizeRelV relativeFrom="page">
            <wp14:pctHeight>0</wp14:pctHeight>
          </wp14:sizeRelV>
        </wp:anchor>
      </w:drawing>
    </w:r>
    <w:r w:rsidRPr="009924A8">
      <w:rPr>
        <w:noProof/>
      </w:rPr>
      <w:drawing>
        <wp:anchor distT="0" distB="0" distL="114300" distR="114300" simplePos="0" relativeHeight="251669504" behindDoc="0" locked="0" layoutInCell="1" allowOverlap="1" wp14:anchorId="1919A7D4" wp14:editId="260B5BD7">
          <wp:simplePos x="0" y="0"/>
          <wp:positionH relativeFrom="column">
            <wp:posOffset>1276350</wp:posOffset>
          </wp:positionH>
          <wp:positionV relativeFrom="paragraph">
            <wp:posOffset>241935</wp:posOffset>
          </wp:positionV>
          <wp:extent cx="823595" cy="433070"/>
          <wp:effectExtent l="0" t="0" r="1905"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23595" cy="433070"/>
                  </a:xfrm>
                  <a:prstGeom prst="rect">
                    <a:avLst/>
                  </a:prstGeom>
                </pic:spPr>
              </pic:pic>
            </a:graphicData>
          </a:graphic>
          <wp14:sizeRelH relativeFrom="page">
            <wp14:pctWidth>0</wp14:pctWidth>
          </wp14:sizeRelH>
          <wp14:sizeRelV relativeFrom="page">
            <wp14:pctHeight>0</wp14:pctHeight>
          </wp14:sizeRelV>
        </wp:anchor>
      </w:drawing>
    </w:r>
    <w:r w:rsidRPr="009924A8">
      <w:rPr>
        <w:noProof/>
      </w:rPr>
      <mc:AlternateContent>
        <mc:Choice Requires="wps">
          <w:drawing>
            <wp:anchor distT="0" distB="0" distL="114300" distR="114300" simplePos="0" relativeHeight="251668480" behindDoc="0" locked="0" layoutInCell="1" allowOverlap="1" wp14:anchorId="25593C24" wp14:editId="0ED11767">
              <wp:simplePos x="0" y="0"/>
              <wp:positionH relativeFrom="column">
                <wp:posOffset>-452755</wp:posOffset>
              </wp:positionH>
              <wp:positionV relativeFrom="paragraph">
                <wp:posOffset>52868</wp:posOffset>
              </wp:positionV>
              <wp:extent cx="8011795" cy="841375"/>
              <wp:effectExtent l="0" t="0" r="1905" b="0"/>
              <wp:wrapNone/>
              <wp:docPr id="8" name="Rectangle 8"/>
              <wp:cNvGraphicFramePr/>
              <a:graphic xmlns:a="http://schemas.openxmlformats.org/drawingml/2006/main">
                <a:graphicData uri="http://schemas.microsoft.com/office/word/2010/wordprocessingShape">
                  <wps:wsp>
                    <wps:cNvSpPr/>
                    <wps:spPr>
                      <a:xfrm>
                        <a:off x="0" y="0"/>
                        <a:ext cx="8011795" cy="841375"/>
                      </a:xfrm>
                      <a:prstGeom prst="rect">
                        <a:avLst/>
                      </a:prstGeom>
                      <a:solidFill>
                        <a:srgbClr val="7777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A455F" id="Rectangle 8" o:spid="_x0000_s1026" style="position:absolute;margin-left:-35.65pt;margin-top:4.15pt;width:630.85pt;height:6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tAxfQIAAF8FAAAOAAAAZHJzL2Uyb0RvYy54bWysVE1v2zAMvQ/YfxB0X21nydIGdYqgRYcB&#13;&#10;RVesHXpWZCkxIIsapcTJfv0o+SNdV+wwLAdFEh8fyWdSl1eHxrC9Ql+DLXlxlnOmrISqtpuSf3+6&#13;&#10;/XDOmQ/CVsKAVSU/Ks+vlu/fXbZuoSawBVMpZERi/aJ1Jd+G4BZZ5uVWNcKfgVOWjBqwEYGOuMkq&#13;&#10;FC2xNyab5PmnrAWsHIJU3tPtTWfky8SvtZLhq9ZeBWZKTrmFtGJa13HNlpdisUHhtrXs0xD/kEUj&#13;&#10;aktBR6obEQTbYf0HVVNLBA86nEloMtC6lirVQNUU+atqHrfCqVQLiePdKJP/f7Tyfv/oHpBkaJ1f&#13;&#10;eNrGKg4am/hP+bFDEus4iqUOgUm6PM+LYn4x40yS7XxafJzPoprZyduhD58VNCxuSo70MZJGYn/n&#13;&#10;QwcdIDGYB1NXt7Ux6YCb9bVBthf04ebp17P/BjM2gi1Et44x3mSnWtIuHI2KOGO/Kc3qirKfpExS&#13;&#10;m6kxjpBS2VB0pq2oVBd+ltNviB4bM3qkShNhZNYUf+TuCQZkRzJwd1n2+OiqUpeOzvnfEuucR48U&#13;&#10;GWwYnZvaAr5FYKiqPnKHH0TqpIkqraE6PiBD6GbEO3lb03e7Ez48CKShoPGhQQ9fadEG2pJDv+Ns&#13;&#10;C/jzrfuIp14lK2ctDVnJ/Y+dQMWZ+WKpiy+K6TROZTpMZ/MJHfClZf3SYnfNNVA7FPSkOJm2ER/M&#13;&#10;sNUIzTO9B6sYlUzCSopdchlwOFyHbvjpRZFqtUowmkQnwp19dDKSR1VjXz4dngW6vnkDtf09DAMp&#13;&#10;Fq96uMNGTwurXQBdpwY/6drrTVOcGqd/ceIz8fKcUKd3cfkLAAD//wMAUEsDBBQABgAIAAAAIQDC&#13;&#10;TaZi4gAAAA8BAAAPAAAAZHJzL2Rvd25yZXYueG1sTE87T8MwEN6R+A/WIbG1dmgFIY1TVUUIMXRo&#13;&#10;oSqjEx9xILaj2GnCv+c6wXIPfXffI19PtmVn7EPjnYRkLoChq7xuXC3h/e15lgILUTmtWu9Qwg8G&#13;&#10;WBfXV7nKtB/dHs+HWDMicSFTEkyMXcZ5qAxaFea+Q0fYp++tirT2Nde9GonctvxOiHtuVeNIwagO&#13;&#10;twar78NgJWyHj9NYp7jbabN5WbyK8kscSylvb6anFZXNCljEKf59wCUD+YeCjJV+cDqwVsLsIVnQ&#13;&#10;qYSU2gVPHsUSWEnTUqTAi5z/z1H8AgAA//8DAFBLAQItABQABgAIAAAAIQC2gziS/gAAAOEBAAAT&#13;&#10;AAAAAAAAAAAAAAAAAAAAAABbQ29udGVudF9UeXBlc10ueG1sUEsBAi0AFAAGAAgAAAAhADj9If/W&#13;&#10;AAAAlAEAAAsAAAAAAAAAAAAAAAAALwEAAF9yZWxzLy5yZWxzUEsBAi0AFAAGAAgAAAAhANPq0DF9&#13;&#10;AgAAXwUAAA4AAAAAAAAAAAAAAAAALgIAAGRycy9lMm9Eb2MueG1sUEsBAi0AFAAGAAgAAAAhAMJN&#13;&#10;pmLiAAAADwEAAA8AAAAAAAAAAAAAAAAA1wQAAGRycy9kb3ducmV2LnhtbFBLBQYAAAAABAAEAPMA&#13;&#10;AADmBQAAAAA=&#13;&#10;" fillcolor="#77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BF90" w14:textId="77777777" w:rsidR="002E04D0" w:rsidRDefault="002E04D0" w:rsidP="009924A8">
      <w:pPr>
        <w:spacing w:before="0" w:after="0" w:line="240" w:lineRule="auto"/>
      </w:pPr>
      <w:r>
        <w:separator/>
      </w:r>
    </w:p>
  </w:footnote>
  <w:footnote w:type="continuationSeparator" w:id="0">
    <w:p w14:paraId="17F558A7" w14:textId="77777777" w:rsidR="002E04D0" w:rsidRDefault="002E04D0" w:rsidP="009924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8D84" w14:textId="77777777" w:rsidR="00FB31CB" w:rsidRDefault="00FB3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FD19" w14:textId="6A583273" w:rsidR="009924A8" w:rsidRDefault="009924A8">
    <w:pPr>
      <w:pStyle w:val="Header"/>
    </w:pPr>
    <w:r>
      <w:rPr>
        <w:noProof/>
      </w:rPr>
      <mc:AlternateContent>
        <mc:Choice Requires="wps">
          <w:drawing>
            <wp:anchor distT="0" distB="0" distL="114300" distR="114300" simplePos="0" relativeHeight="251659264" behindDoc="0" locked="0" layoutInCell="1" allowOverlap="1" wp14:anchorId="483AE370" wp14:editId="2DC3ABC9">
              <wp:simplePos x="0" y="0"/>
              <wp:positionH relativeFrom="column">
                <wp:posOffset>-457200</wp:posOffset>
              </wp:positionH>
              <wp:positionV relativeFrom="paragraph">
                <wp:posOffset>-14919</wp:posOffset>
              </wp:positionV>
              <wp:extent cx="7766050" cy="235585"/>
              <wp:effectExtent l="0" t="0" r="6350" b="5715"/>
              <wp:wrapNone/>
              <wp:docPr id="2" name="Rectangle 2"/>
              <wp:cNvGraphicFramePr/>
              <a:graphic xmlns:a="http://schemas.openxmlformats.org/drawingml/2006/main">
                <a:graphicData uri="http://schemas.microsoft.com/office/word/2010/wordprocessingShape">
                  <wps:wsp>
                    <wps:cNvSpPr/>
                    <wps:spPr>
                      <a:xfrm>
                        <a:off x="0" y="0"/>
                        <a:ext cx="7766050" cy="235585"/>
                      </a:xfrm>
                      <a:prstGeom prst="rect">
                        <a:avLst/>
                      </a:prstGeom>
                      <a:solidFill>
                        <a:srgbClr val="108C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BEE12" id="Rectangle 2" o:spid="_x0000_s1026" style="position:absolute;margin-left:-36pt;margin-top:-1.15pt;width:611.5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FkkfwIAAF8FAAAOAAAAZHJzL2Uyb0RvYy54bWysVE1v2zAMvQ/YfxB0X+1kTdoFdYogRYcB&#13;&#10;RVesHXpWZCk2IIsapcTJfv0o+SNdV+wwLAdFEh8fyWdSV9eHxrC9Ql+DLfjkLOdMWQllbbcF//50&#13;&#10;++GSMx+ELYUBqwp+VJ5fL9+/u2rdQk2hAlMqZERi/aJ1Ba9CcIss87JSjfBn4JQlowZsRKAjbrMS&#13;&#10;RUvsjcmmeT7PWsDSIUjlPd3edEa+TPxaKxm+au1VYKbglFtIK6Z1E9dseSUWWxSuqmWfhviHLBpR&#13;&#10;Wwo6Ut2IINgO6z+omloieNDhTEKTgda1VKkGqmaSv6rmsRJOpVpIHO9Gmfz/o5X3+0f3gCRD6/zC&#13;&#10;0zZWcdDYxH/Kjx2SWMdRLHUITNLlxcV8ns9IU0m26cfZ7HIW1cxO3g59+KygYXFTcKSPkTQS+zsf&#13;&#10;OugAicE8mLq8rY1JB9xu1gbZXtCHm+SX69W8Z/8NZmwEW4huHWO8yU61pF04GhVxxn5TmtUlZT9N&#13;&#10;maQ2U2McIaWyYdKZKlGqLvwsp98QPTZm9EiVJsLIrCn+yN0TDMiOZODusuzx0VWlLh2d878l1jmP&#13;&#10;Hiky2DA6N7UFfIvAUFV95A4/iNRJE1XaQHl8QIbQzYh38ram73YnfHgQSENBn5oGPXylRRtoCw79&#13;&#10;jrMK8Odb9xFPvUpWzloasoL7HzuBijPzxVIXf5qcn8epTIfz2cWUDvjSsnlpsbtmDbEd6ElxMm0j&#13;&#10;PphhqxGaZ3oPVjEqmYSVFLvgMuBwWIdu+OlFkWq1SjCaRCfCnX10MpJHVWNfPh2eBbq+eQO1/T0M&#13;&#10;AykWr3q4w0ZPC6tdAF2nBj/p2utNU5wap39x4jPx8pxQp3dx+QsAAP//AwBQSwMEFAAGAAgAAAAh&#13;&#10;ALWzF8nkAAAADwEAAA8AAABkcnMvZG93bnJldi54bWxMj01Pg0AQhu8m/ofNmHhrF6gfDWVpiMbE&#13;&#10;6sVWTTwu7AhEdpaw2xb6652e9DKZz3feJ1uPthMHHHzrSEE8j0AgVc60VCv4eH+aLUH4oMnozhEq&#13;&#10;mNDDOr+8yHRq3JG2eNiFWrAI+VQraELoUyl91aDVfu56JJ59u8HqwOVQSzPoI4vbTiZRdCetbok/&#13;&#10;NLrHhwarn93eKgg1lm+v21MRv2Cx+Zye/fSlK6Wur8bHFYdiBSLgGP4u4MzA/iFnY6Xbk/GiUzC7&#13;&#10;TxgocJIsQJwX4tuYO6WCxc0SZJ7J/xz5LwAAAP//AwBQSwECLQAUAAYACAAAACEAtoM4kv4AAADh&#13;&#10;AQAAEwAAAAAAAAAAAAAAAAAAAAAAW0NvbnRlbnRfVHlwZXNdLnhtbFBLAQItABQABgAIAAAAIQA4&#13;&#10;/SH/1gAAAJQBAAALAAAAAAAAAAAAAAAAAC8BAABfcmVscy8ucmVsc1BLAQItABQABgAIAAAAIQD1&#13;&#10;UFkkfwIAAF8FAAAOAAAAAAAAAAAAAAAAAC4CAABkcnMvZTJvRG9jLnhtbFBLAQItABQABgAIAAAA&#13;&#10;IQC1sxfJ5AAAAA8BAAAPAAAAAAAAAAAAAAAAANkEAABkcnMvZG93bnJldi54bWxQSwUGAAAAAAQA&#13;&#10;BADzAAAA6gUAAAAA&#13;&#10;" fillcolor="#108ca6"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C918" w14:textId="2DDF4B49" w:rsidR="009924A8" w:rsidRDefault="009924A8">
    <w:pPr>
      <w:pStyle w:val="Header"/>
    </w:pPr>
    <w:r w:rsidRPr="009924A8">
      <w:rPr>
        <w:noProof/>
      </w:rPr>
      <w:drawing>
        <wp:anchor distT="0" distB="0" distL="114300" distR="114300" simplePos="0" relativeHeight="251665408" behindDoc="0" locked="0" layoutInCell="1" allowOverlap="1" wp14:anchorId="1D14A830" wp14:editId="556495BB">
          <wp:simplePos x="0" y="0"/>
          <wp:positionH relativeFrom="column">
            <wp:posOffset>-574040</wp:posOffset>
          </wp:positionH>
          <wp:positionV relativeFrom="paragraph">
            <wp:posOffset>0</wp:posOffset>
          </wp:positionV>
          <wp:extent cx="8001000" cy="13074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DFD"/>
    <w:multiLevelType w:val="hybridMultilevel"/>
    <w:tmpl w:val="48D4545C"/>
    <w:lvl w:ilvl="0" w:tplc="9D8EF6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C465D"/>
    <w:multiLevelType w:val="hybridMultilevel"/>
    <w:tmpl w:val="A4DAD2F2"/>
    <w:lvl w:ilvl="0" w:tplc="8A28B46E">
      <w:start w:val="1"/>
      <w:numFmt w:val="upperRoman"/>
      <w:lvlText w:val="%1."/>
      <w:lvlJc w:val="left"/>
      <w:pPr>
        <w:ind w:left="1080" w:hanging="720"/>
      </w:pPr>
      <w:rPr>
        <w:rFonts w:hint="default"/>
      </w:rPr>
    </w:lvl>
    <w:lvl w:ilvl="1" w:tplc="26B2C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B15CB"/>
    <w:multiLevelType w:val="hybridMultilevel"/>
    <w:tmpl w:val="711258C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12C77"/>
    <w:multiLevelType w:val="hybridMultilevel"/>
    <w:tmpl w:val="D6EEF6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3217F"/>
    <w:multiLevelType w:val="hybridMultilevel"/>
    <w:tmpl w:val="6BF641B8"/>
    <w:lvl w:ilvl="0" w:tplc="3C7CE9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74133"/>
    <w:multiLevelType w:val="hybridMultilevel"/>
    <w:tmpl w:val="F2D431A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7B27D3B"/>
    <w:multiLevelType w:val="hybridMultilevel"/>
    <w:tmpl w:val="1876F07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44709E"/>
    <w:multiLevelType w:val="hybridMultilevel"/>
    <w:tmpl w:val="B77456D6"/>
    <w:lvl w:ilvl="0" w:tplc="E7A65B3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FB443E"/>
    <w:multiLevelType w:val="hybridMultilevel"/>
    <w:tmpl w:val="E3DAD78A"/>
    <w:lvl w:ilvl="0" w:tplc="3C7CE90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2D1DD1"/>
    <w:multiLevelType w:val="hybridMultilevel"/>
    <w:tmpl w:val="1B1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C744E"/>
    <w:multiLevelType w:val="hybridMultilevel"/>
    <w:tmpl w:val="3A66A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3"/>
  </w:num>
  <w:num w:numId="7">
    <w:abstractNumId w:val="10"/>
  </w:num>
  <w:num w:numId="8">
    <w:abstractNumId w:val="5"/>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A8"/>
    <w:rsid w:val="001D740D"/>
    <w:rsid w:val="002E04D0"/>
    <w:rsid w:val="004B5F04"/>
    <w:rsid w:val="00713741"/>
    <w:rsid w:val="00851048"/>
    <w:rsid w:val="009924A8"/>
    <w:rsid w:val="00BD2DF0"/>
    <w:rsid w:val="00CA0D41"/>
    <w:rsid w:val="00D0453B"/>
    <w:rsid w:val="00D704FC"/>
    <w:rsid w:val="00F42793"/>
    <w:rsid w:val="00FB3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DFDB4"/>
  <w15:chartTrackingRefBased/>
  <w15:docId w15:val="{5F8D239B-2EAE-0D47-AC3F-85089BFD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24A8"/>
    <w:pPr>
      <w:spacing w:before="120" w:after="120" w:line="300" w:lineRule="auto"/>
    </w:pPr>
    <w:rPr>
      <w:rFonts w:ascii="Arial" w:hAnsi="Arial"/>
      <w:sz w:val="22"/>
    </w:rPr>
  </w:style>
  <w:style w:type="paragraph" w:styleId="Heading1">
    <w:name w:val="heading 1"/>
    <w:basedOn w:val="Normal"/>
    <w:next w:val="Normal"/>
    <w:link w:val="Heading1Char"/>
    <w:uiPriority w:val="9"/>
    <w:qFormat/>
    <w:rsid w:val="00FB31CB"/>
    <w:pPr>
      <w:keepNext/>
      <w:keepLines/>
      <w:spacing w:before="240" w:line="240" w:lineRule="auto"/>
      <w:outlineLvl w:val="0"/>
    </w:pPr>
    <w:rPr>
      <w:rFonts w:eastAsiaTheme="majorEastAsia" w:cstheme="majorBidi"/>
      <w:b/>
      <w:color w:val="0A5F71"/>
      <w:sz w:val="32"/>
      <w:szCs w:val="32"/>
    </w:rPr>
  </w:style>
  <w:style w:type="paragraph" w:styleId="Heading2">
    <w:name w:val="heading 2"/>
    <w:basedOn w:val="Normal"/>
    <w:next w:val="Normal"/>
    <w:link w:val="Heading2Char"/>
    <w:uiPriority w:val="9"/>
    <w:unhideWhenUsed/>
    <w:qFormat/>
    <w:rsid w:val="00FB31CB"/>
    <w:pPr>
      <w:keepNext/>
      <w:keepLines/>
      <w:outlineLvl w:val="1"/>
    </w:pPr>
    <w:rPr>
      <w:rFonts w:eastAsiaTheme="majorEastAsia" w:cstheme="majorBidi"/>
      <w:b/>
      <w:color w:val="108C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A8"/>
    <w:pPr>
      <w:tabs>
        <w:tab w:val="center" w:pos="4680"/>
        <w:tab w:val="right" w:pos="9360"/>
      </w:tabs>
    </w:pPr>
  </w:style>
  <w:style w:type="character" w:customStyle="1" w:styleId="HeaderChar">
    <w:name w:val="Header Char"/>
    <w:basedOn w:val="DefaultParagraphFont"/>
    <w:link w:val="Header"/>
    <w:uiPriority w:val="99"/>
    <w:rsid w:val="009924A8"/>
  </w:style>
  <w:style w:type="paragraph" w:styleId="Footer">
    <w:name w:val="footer"/>
    <w:basedOn w:val="Normal"/>
    <w:link w:val="FooterChar"/>
    <w:uiPriority w:val="99"/>
    <w:unhideWhenUsed/>
    <w:rsid w:val="009924A8"/>
    <w:pPr>
      <w:tabs>
        <w:tab w:val="center" w:pos="4680"/>
        <w:tab w:val="right" w:pos="9360"/>
      </w:tabs>
    </w:pPr>
  </w:style>
  <w:style w:type="character" w:customStyle="1" w:styleId="FooterChar">
    <w:name w:val="Footer Char"/>
    <w:basedOn w:val="DefaultParagraphFont"/>
    <w:link w:val="Footer"/>
    <w:uiPriority w:val="99"/>
    <w:rsid w:val="009924A8"/>
  </w:style>
  <w:style w:type="character" w:customStyle="1" w:styleId="Heading1Char">
    <w:name w:val="Heading 1 Char"/>
    <w:basedOn w:val="DefaultParagraphFont"/>
    <w:link w:val="Heading1"/>
    <w:uiPriority w:val="9"/>
    <w:rsid w:val="00FB31CB"/>
    <w:rPr>
      <w:rFonts w:ascii="Arial" w:eastAsiaTheme="majorEastAsia" w:hAnsi="Arial" w:cstheme="majorBidi"/>
      <w:b/>
      <w:color w:val="0A5F71"/>
      <w:sz w:val="32"/>
      <w:szCs w:val="32"/>
    </w:rPr>
  </w:style>
  <w:style w:type="character" w:customStyle="1" w:styleId="Heading2Char">
    <w:name w:val="Heading 2 Char"/>
    <w:basedOn w:val="DefaultParagraphFont"/>
    <w:link w:val="Heading2"/>
    <w:uiPriority w:val="9"/>
    <w:rsid w:val="00FB31CB"/>
    <w:rPr>
      <w:rFonts w:ascii="Arial" w:eastAsiaTheme="majorEastAsia" w:hAnsi="Arial" w:cstheme="majorBidi"/>
      <w:b/>
      <w:color w:val="108CA6"/>
      <w:sz w:val="26"/>
      <w:szCs w:val="26"/>
    </w:rPr>
  </w:style>
  <w:style w:type="paragraph" w:styleId="ListParagraph">
    <w:name w:val="List Paragraph"/>
    <w:basedOn w:val="Normal"/>
    <w:uiPriority w:val="34"/>
    <w:qFormat/>
    <w:rsid w:val="009924A8"/>
    <w:pPr>
      <w:spacing w:before="0" w:after="160" w:line="259" w:lineRule="auto"/>
      <w:ind w:left="720"/>
      <w:contextualSpacing/>
    </w:pPr>
    <w:rPr>
      <w:szCs w:val="22"/>
    </w:rPr>
  </w:style>
  <w:style w:type="table" w:styleId="TableGrid">
    <w:name w:val="Table Grid"/>
    <w:basedOn w:val="TableNormal"/>
    <w:uiPriority w:val="39"/>
    <w:rsid w:val="009924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Hemali</dc:creator>
  <cp:keywords/>
  <dc:description/>
  <cp:lastModifiedBy>Patel, Hemali</cp:lastModifiedBy>
  <cp:revision>2</cp:revision>
  <dcterms:created xsi:type="dcterms:W3CDTF">2021-12-07T18:17:00Z</dcterms:created>
  <dcterms:modified xsi:type="dcterms:W3CDTF">2021-12-07T18:17:00Z</dcterms:modified>
</cp:coreProperties>
</file>