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87C5" w14:textId="2D2061F5" w:rsidR="0077376B" w:rsidRPr="004C6A05" w:rsidRDefault="004C6A05" w:rsidP="006C22BB">
      <w:pPr>
        <w:pStyle w:val="BodyText"/>
        <w:ind w:firstLine="720"/>
        <w:rPr>
          <w:rFonts w:ascii="IBM Plex Sans" w:hAnsi="IBM Plex Sans"/>
          <w:sz w:val="20"/>
        </w:rPr>
      </w:pPr>
      <w:r>
        <w:rPr>
          <w:rFonts w:ascii="IBM Plex Serif Medm" w:hAnsi="IBM Plex Serif Medm"/>
          <w:noProof/>
          <w:sz w:val="40"/>
          <w:szCs w:val="40"/>
        </w:rPr>
        <w:drawing>
          <wp:anchor distT="0" distB="0" distL="114300" distR="114300" simplePos="0" relativeHeight="251663360" behindDoc="0" locked="0" layoutInCell="1" allowOverlap="1" wp14:anchorId="40FCF50F" wp14:editId="61F16F74">
            <wp:simplePos x="0" y="0"/>
            <wp:positionH relativeFrom="column">
              <wp:posOffset>8338929</wp:posOffset>
            </wp:positionH>
            <wp:positionV relativeFrom="paragraph">
              <wp:posOffset>-279400</wp:posOffset>
            </wp:positionV>
            <wp:extent cx="1195057" cy="1195057"/>
            <wp:effectExtent l="0" t="0" r="0" b="0"/>
            <wp:wrapNone/>
            <wp:docPr id="300841905" name="Picture 17" descr="A yellow and grey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41905" name="Picture 17" descr="A yellow and grey circle with arrow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057" cy="1195057"/>
                    </a:xfrm>
                    <a:prstGeom prst="rect">
                      <a:avLst/>
                    </a:prstGeom>
                  </pic:spPr>
                </pic:pic>
              </a:graphicData>
            </a:graphic>
            <wp14:sizeRelH relativeFrom="page">
              <wp14:pctWidth>0</wp14:pctWidth>
            </wp14:sizeRelH>
            <wp14:sizeRelV relativeFrom="page">
              <wp14:pctHeight>0</wp14:pctHeight>
            </wp14:sizeRelV>
          </wp:anchor>
        </w:drawing>
      </w:r>
      <w:r w:rsidR="002458E5" w:rsidRPr="004C6A05">
        <w:rPr>
          <w:rFonts w:ascii="IBM Plex Serif Medm" w:hAnsi="IBM Plex Serif Medm"/>
          <w:sz w:val="48"/>
          <w:szCs w:val="48"/>
        </w:rPr>
        <w:t>Zero Suicide Data Elements Worksheet</w:t>
      </w:r>
    </w:p>
    <w:p w14:paraId="204EE96E" w14:textId="77777777" w:rsidR="004C6A05" w:rsidRDefault="004C6A05" w:rsidP="004C6A05">
      <w:pPr>
        <w:pStyle w:val="Heading1"/>
        <w:spacing w:line="360" w:lineRule="auto"/>
        <w:rPr>
          <w:rFonts w:ascii="IBM Plex Serif Medm" w:hAnsi="IBM Plex Serif Medm"/>
          <w:color w:val="8C3B61"/>
          <w:sz w:val="24"/>
          <w:szCs w:val="24"/>
        </w:rPr>
      </w:pPr>
    </w:p>
    <w:p w14:paraId="7EC0F008" w14:textId="6F26036E" w:rsidR="002458E5" w:rsidRPr="004C6A05" w:rsidRDefault="004C6A05" w:rsidP="006C22BB">
      <w:pPr>
        <w:pStyle w:val="Heading1"/>
        <w:spacing w:line="360" w:lineRule="auto"/>
        <w:ind w:left="0" w:firstLine="720"/>
        <w:rPr>
          <w:rFonts w:ascii="IBM Plex Serif Medm" w:hAnsi="IBM Plex Serif Medm"/>
          <w:color w:val="8C3B61"/>
          <w:sz w:val="28"/>
          <w:szCs w:val="28"/>
        </w:rPr>
      </w:pPr>
      <w:r>
        <w:rPr>
          <w:rFonts w:ascii="IBM Plex Serif Medm" w:hAnsi="IBM Plex Serif Medm"/>
          <w:color w:val="8C3B61"/>
          <w:sz w:val="28"/>
          <w:szCs w:val="28"/>
        </w:rPr>
        <w:t xml:space="preserve">Zero Suicide Data Elements </w:t>
      </w:r>
      <w:r w:rsidR="00741200" w:rsidRPr="004C6A05">
        <w:rPr>
          <w:rFonts w:ascii="IBM Plex Serif Medm" w:hAnsi="IBM Plex Serif Medm"/>
          <w:color w:val="8C3B61"/>
          <w:sz w:val="28"/>
          <w:szCs w:val="28"/>
        </w:rPr>
        <w:t>Description and Instructions</w:t>
      </w:r>
    </w:p>
    <w:p w14:paraId="6AF20A8F" w14:textId="48244B9B" w:rsidR="0077376B" w:rsidRPr="004C6A05" w:rsidRDefault="00741200" w:rsidP="006E74E3">
      <w:pPr>
        <w:pStyle w:val="BodyText"/>
        <w:spacing w:line="360" w:lineRule="auto"/>
        <w:ind w:left="720" w:right="726"/>
        <w:rPr>
          <w:rFonts w:ascii="IBM Plex Sans" w:hAnsi="IBM Plex Sans"/>
          <w:color w:val="121212"/>
        </w:rPr>
      </w:pPr>
      <w:r w:rsidRPr="004C6A05">
        <w:rPr>
          <w:rFonts w:ascii="IBM Plex Sans" w:hAnsi="IBM Plex Sans"/>
          <w:color w:val="121212"/>
        </w:rPr>
        <w:t xml:space="preserve">This worksheet is intended to assist health and behavioral health care organizations </w:t>
      </w:r>
      <w:r w:rsidR="00E52C1D" w:rsidRPr="004C6A05">
        <w:rPr>
          <w:rFonts w:ascii="IBM Plex Sans" w:hAnsi="IBM Plex Sans"/>
          <w:color w:val="121212"/>
        </w:rPr>
        <w:t>to</w:t>
      </w:r>
      <w:r w:rsidRPr="004C6A05">
        <w:rPr>
          <w:rFonts w:ascii="IBM Plex Sans" w:hAnsi="IBM Plex Sans"/>
          <w:color w:val="121212"/>
        </w:rPr>
        <w:t xml:space="preserve"> develop a data-driven, quality improvement approach to suicide care. Th</w:t>
      </w:r>
      <w:r w:rsidR="007220C8" w:rsidRPr="004C6A05">
        <w:rPr>
          <w:rFonts w:ascii="IBM Plex Sans" w:hAnsi="IBM Plex Sans"/>
          <w:color w:val="121212"/>
        </w:rPr>
        <w:t>is</w:t>
      </w:r>
      <w:r w:rsidRPr="004C6A05">
        <w:rPr>
          <w:rFonts w:ascii="IBM Plex Sans" w:hAnsi="IBM Plex Sans"/>
          <w:color w:val="121212"/>
        </w:rPr>
        <w:t xml:space="preserve"> worksheet:</w:t>
      </w:r>
    </w:p>
    <w:p w14:paraId="628BFC85" w14:textId="3BF1D18F" w:rsidR="0077376B" w:rsidRPr="004C6A05" w:rsidRDefault="00741200" w:rsidP="009636AF">
      <w:pPr>
        <w:pStyle w:val="ListParagraph"/>
        <w:numPr>
          <w:ilvl w:val="0"/>
          <w:numId w:val="3"/>
        </w:numPr>
        <w:tabs>
          <w:tab w:val="left" w:pos="900"/>
        </w:tabs>
        <w:spacing w:before="0" w:line="360" w:lineRule="auto"/>
        <w:rPr>
          <w:rFonts w:ascii="IBM Plex Sans" w:hAnsi="IBM Plex Sans"/>
          <w:color w:val="121212"/>
          <w:sz w:val="19"/>
        </w:rPr>
      </w:pPr>
      <w:r w:rsidRPr="004C6A05">
        <w:rPr>
          <w:rFonts w:ascii="IBM Plex Sans" w:hAnsi="IBM Plex Sans"/>
          <w:color w:val="121212"/>
          <w:sz w:val="19"/>
        </w:rPr>
        <w:t>Reflects the top areas of measurement that health care organizations should strive for to maintain fidelity to a comprehensive suicide care model.</w:t>
      </w:r>
    </w:p>
    <w:p w14:paraId="11C58704" w14:textId="66DBE09A" w:rsidR="0077376B" w:rsidRPr="004C6A05" w:rsidRDefault="00741200" w:rsidP="009636AF">
      <w:pPr>
        <w:pStyle w:val="ListParagraph"/>
        <w:numPr>
          <w:ilvl w:val="0"/>
          <w:numId w:val="3"/>
        </w:numPr>
        <w:tabs>
          <w:tab w:val="left" w:pos="900"/>
        </w:tabs>
        <w:spacing w:before="0" w:line="360" w:lineRule="auto"/>
        <w:rPr>
          <w:rFonts w:ascii="IBM Plex Sans" w:hAnsi="IBM Plex Sans"/>
          <w:color w:val="121212"/>
          <w:sz w:val="19"/>
        </w:rPr>
      </w:pPr>
      <w:r w:rsidRPr="004C6A05">
        <w:rPr>
          <w:rFonts w:ascii="IBM Plex Sans" w:hAnsi="IBM Plex Sans"/>
          <w:color w:val="121212"/>
          <w:sz w:val="19"/>
        </w:rPr>
        <w:t xml:space="preserve">Includes a list of supplemental measures that organizations may want to consider. These measures are clinically significant but may be </w:t>
      </w:r>
      <w:r w:rsidR="009874AD" w:rsidRPr="004C6A05">
        <w:rPr>
          <w:rFonts w:ascii="IBM Plex Sans" w:hAnsi="IBM Plex Sans"/>
          <w:color w:val="121212"/>
          <w:sz w:val="19"/>
        </w:rPr>
        <w:t xml:space="preserve">more difficult </w:t>
      </w:r>
      <w:r w:rsidRPr="004C6A05">
        <w:rPr>
          <w:rFonts w:ascii="IBM Plex Sans" w:hAnsi="IBM Plex Sans"/>
          <w:color w:val="121212"/>
          <w:sz w:val="19"/>
        </w:rPr>
        <w:t>to measure.</w:t>
      </w:r>
    </w:p>
    <w:p w14:paraId="10B5F730" w14:textId="77777777" w:rsidR="00561FBB" w:rsidRPr="004C6A05" w:rsidRDefault="00561FBB" w:rsidP="00561FBB">
      <w:pPr>
        <w:pStyle w:val="BodyText"/>
        <w:spacing w:line="360" w:lineRule="auto"/>
        <w:ind w:left="720"/>
        <w:rPr>
          <w:rFonts w:ascii="IBM Plex Sans" w:hAnsi="IBM Plex Sans"/>
          <w:color w:val="121212"/>
        </w:rPr>
      </w:pPr>
    </w:p>
    <w:p w14:paraId="6A3D1510" w14:textId="2CD52713" w:rsidR="0077376B" w:rsidRPr="004C6A05" w:rsidRDefault="00741200" w:rsidP="004C6A05">
      <w:pPr>
        <w:pStyle w:val="BodyText"/>
        <w:spacing w:line="360" w:lineRule="auto"/>
        <w:ind w:left="720" w:right="720"/>
        <w:rPr>
          <w:rFonts w:ascii="IBM Plex Sans" w:hAnsi="IBM Plex Sans"/>
          <w:color w:val="121212"/>
        </w:rPr>
      </w:pPr>
      <w:r w:rsidRPr="004C6A05">
        <w:rPr>
          <w:rFonts w:ascii="IBM Plex Sans" w:hAnsi="IBM Plex Sans"/>
          <w:color w:val="121212"/>
        </w:rPr>
        <w:t xml:space="preserve">The Data Elements Worksheet should be completed </w:t>
      </w:r>
      <w:r w:rsidR="00313E15" w:rsidRPr="004C6A05">
        <w:rPr>
          <w:rFonts w:ascii="IBM Plex Sans" w:hAnsi="IBM Plex Sans"/>
          <w:color w:val="121212"/>
        </w:rPr>
        <w:t xml:space="preserve">on a regular schedule established by the organization, such as </w:t>
      </w:r>
      <w:r w:rsidRPr="004C6A05">
        <w:rPr>
          <w:rFonts w:ascii="IBM Plex Sans" w:hAnsi="IBM Plex Sans"/>
          <w:color w:val="121212"/>
        </w:rPr>
        <w:t>every three months, and a</w:t>
      </w:r>
      <w:r w:rsidR="00313E15" w:rsidRPr="004C6A05">
        <w:rPr>
          <w:rFonts w:ascii="IBM Plex Sans" w:hAnsi="IBM Plex Sans"/>
          <w:color w:val="121212"/>
        </w:rPr>
        <w:t xml:space="preserve"> </w:t>
      </w:r>
      <w:r w:rsidRPr="004C6A05">
        <w:rPr>
          <w:rFonts w:ascii="IBM Plex Sans" w:hAnsi="IBM Plex Sans"/>
          <w:color w:val="121212"/>
        </w:rPr>
        <w:t>team should use the findings to determine areas for improvement. The data</w:t>
      </w:r>
      <w:r w:rsidR="00E52C1D" w:rsidRPr="004C6A05">
        <w:rPr>
          <w:rFonts w:ascii="IBM Plex Sans" w:hAnsi="IBM Plex Sans"/>
          <w:color w:val="121212"/>
        </w:rPr>
        <w:t xml:space="preserve"> </w:t>
      </w:r>
      <w:r w:rsidRPr="004C6A05">
        <w:rPr>
          <w:rFonts w:ascii="IBM Plex Sans" w:hAnsi="IBM Plex Sans"/>
          <w:color w:val="121212"/>
        </w:rPr>
        <w:t>elements included on the worksheet can be captured in an electronic health record to allow data to be tracked and compared over time.</w:t>
      </w:r>
      <w:r w:rsidR="00313E15" w:rsidRPr="004C6A05">
        <w:rPr>
          <w:rFonts w:ascii="IBM Plex Sans" w:hAnsi="IBM Plex Sans"/>
          <w:color w:val="121212"/>
        </w:rPr>
        <w:t xml:space="preserve"> Organizations could also use the </w:t>
      </w:r>
      <w:hyperlink r:id="rId11" w:history="1">
        <w:r w:rsidR="00313E15" w:rsidRPr="004C6A05">
          <w:rPr>
            <w:rStyle w:val="Hyperlink"/>
            <w:rFonts w:ascii="IBM Plex Sans" w:hAnsi="IBM Plex Sans"/>
            <w:color w:val="121212"/>
          </w:rPr>
          <w:t>Zero Suicide Data Dashboard</w:t>
        </w:r>
      </w:hyperlink>
      <w:r w:rsidR="00313E15" w:rsidRPr="004C6A05">
        <w:rPr>
          <w:rFonts w:ascii="IBM Plex Sans" w:hAnsi="IBM Plex Sans"/>
          <w:color w:val="121212"/>
        </w:rPr>
        <w:t xml:space="preserve"> to track and monitor the data that is included in this worksheet.</w:t>
      </w:r>
    </w:p>
    <w:p w14:paraId="445DEAFE" w14:textId="5CF514E8" w:rsidR="0077376B" w:rsidRPr="004C6A05" w:rsidRDefault="0077376B" w:rsidP="00561FBB">
      <w:pPr>
        <w:pStyle w:val="BodyText"/>
        <w:spacing w:line="360" w:lineRule="auto"/>
        <w:rPr>
          <w:rFonts w:ascii="IBM Plex Sans" w:hAnsi="IBM Plex Sans"/>
          <w:color w:val="121212"/>
          <w:sz w:val="22"/>
        </w:rPr>
      </w:pPr>
    </w:p>
    <w:p w14:paraId="23F34FE9" w14:textId="251CBCAC" w:rsidR="0077376B" w:rsidRPr="004C6A05" w:rsidRDefault="00741200" w:rsidP="004C6A05">
      <w:pPr>
        <w:pStyle w:val="BodyText"/>
        <w:spacing w:line="360" w:lineRule="auto"/>
        <w:ind w:left="720" w:right="726"/>
        <w:rPr>
          <w:rFonts w:ascii="IBM Plex Sans" w:hAnsi="IBM Plex Sans"/>
          <w:color w:val="121212"/>
        </w:rPr>
      </w:pPr>
      <w:r w:rsidRPr="004C6A05">
        <w:rPr>
          <w:rFonts w:ascii="IBM Plex Sans" w:hAnsi="IBM Plex Sans"/>
          <w:color w:val="121212"/>
        </w:rPr>
        <w:t>Zero Suicide</w:t>
      </w:r>
      <w:r w:rsidR="00313E15" w:rsidRPr="004C6A05">
        <w:rPr>
          <w:rFonts w:ascii="IBM Plex Sans" w:hAnsi="IBM Plex Sans"/>
          <w:color w:val="121212"/>
        </w:rPr>
        <w:t xml:space="preserve"> </w:t>
      </w:r>
      <w:r w:rsidRPr="004C6A05">
        <w:rPr>
          <w:rFonts w:ascii="IBM Plex Sans" w:hAnsi="IBM Plex Sans"/>
          <w:color w:val="121212"/>
        </w:rPr>
        <w:t>is an evolving model. While each individual component of the model reflects best practices in care and treatment, we understand that variations will occur in delivery and setting. However, it is vital to measure organizational practices and patient outcomes and to begin to create a shared understanding of what it takes to reduce suicides for those enrolled in care.</w:t>
      </w:r>
      <w:r w:rsidR="004C6A05">
        <w:rPr>
          <w:rFonts w:ascii="IBM Plex Sans" w:hAnsi="IBM Plex Sans"/>
          <w:color w:val="121212"/>
        </w:rPr>
        <w:t xml:space="preserve"> </w:t>
      </w:r>
      <w:r w:rsidRPr="004C6A05">
        <w:rPr>
          <w:rFonts w:ascii="IBM Plex Sans" w:hAnsi="IBM Plex Sans"/>
          <w:color w:val="121212"/>
        </w:rPr>
        <w:t xml:space="preserve">Use the Zero Suicide Data Elements Worksheet in conjunction with the </w:t>
      </w:r>
      <w:hyperlink r:id="rId12" w:history="1">
        <w:r w:rsidR="0077376B" w:rsidRPr="004C6A05">
          <w:rPr>
            <w:rStyle w:val="Hyperlink"/>
            <w:rFonts w:ascii="IBM Plex Sans" w:hAnsi="IBM Plex Sans"/>
            <w:color w:val="296BF7"/>
          </w:rPr>
          <w:t>Zero Suicide Organizational Self-Study</w:t>
        </w:r>
      </w:hyperlink>
      <w:r w:rsidRPr="004C6A05">
        <w:rPr>
          <w:rFonts w:ascii="IBM Plex Sans" w:hAnsi="IBM Plex Sans"/>
          <w:color w:val="121212"/>
        </w:rPr>
        <w:t xml:space="preserve"> and your </w:t>
      </w:r>
      <w:hyperlink r:id="rId13" w:history="1">
        <w:r w:rsidR="0077376B" w:rsidRPr="004C6A05">
          <w:rPr>
            <w:rStyle w:val="Hyperlink"/>
            <w:rFonts w:ascii="IBM Plex Sans" w:hAnsi="IBM Plex Sans"/>
            <w:color w:val="296BF7"/>
          </w:rPr>
          <w:t>Zero Suicide Work Plan</w:t>
        </w:r>
      </w:hyperlink>
      <w:r w:rsidRPr="004C6A05">
        <w:rPr>
          <w:rFonts w:ascii="IBM Plex Sans" w:hAnsi="IBM Plex Sans"/>
          <w:color w:val="296BF7"/>
        </w:rPr>
        <w:t xml:space="preserve"> </w:t>
      </w:r>
      <w:r w:rsidRPr="004C6A05">
        <w:rPr>
          <w:rFonts w:ascii="IBM Plex Sans" w:hAnsi="IBM Plex Sans"/>
          <w:color w:val="121212"/>
        </w:rPr>
        <w:t xml:space="preserve">to determine where improvements can be made in care, training, and policies. </w:t>
      </w:r>
    </w:p>
    <w:p w14:paraId="484D52D8" w14:textId="3E56F239" w:rsidR="0077376B" w:rsidRPr="002458E5" w:rsidRDefault="0077376B" w:rsidP="00561FBB">
      <w:pPr>
        <w:pStyle w:val="BodyText"/>
        <w:spacing w:line="360" w:lineRule="auto"/>
        <w:rPr>
          <w:rFonts w:ascii="IBM Plex Sans" w:hAnsi="IBM Plex Sans"/>
          <w:sz w:val="23"/>
        </w:rPr>
      </w:pPr>
    </w:p>
    <w:p w14:paraId="597000F5" w14:textId="5279BE4D" w:rsidR="0077376B" w:rsidRPr="004C6A05" w:rsidRDefault="004C6A05" w:rsidP="00561FBB">
      <w:pPr>
        <w:pStyle w:val="Heading1"/>
        <w:spacing w:line="360" w:lineRule="auto"/>
        <w:rPr>
          <w:rFonts w:ascii="IBM Plex Serif Medm" w:hAnsi="IBM Plex Serif Medm"/>
          <w:color w:val="8C3B61"/>
          <w:sz w:val="28"/>
          <w:szCs w:val="28"/>
        </w:rPr>
      </w:pPr>
      <w:r>
        <w:rPr>
          <w:rFonts w:ascii="IBM Plex Serif Medm" w:hAnsi="IBM Plex Serif Medm"/>
          <w:color w:val="8C3B61"/>
          <w:sz w:val="28"/>
          <w:szCs w:val="28"/>
        </w:rPr>
        <w:t xml:space="preserve">Zero Suicide Data Elements </w:t>
      </w:r>
      <w:r w:rsidR="00741200" w:rsidRPr="004C6A05">
        <w:rPr>
          <w:rFonts w:ascii="IBM Plex Serif Medm" w:hAnsi="IBM Plex Serif Medm"/>
          <w:color w:val="8C3B61"/>
          <w:sz w:val="28"/>
          <w:szCs w:val="28"/>
        </w:rPr>
        <w:t>Terminology</w:t>
      </w:r>
    </w:p>
    <w:p w14:paraId="38E1A4B3" w14:textId="0D82B269" w:rsidR="0077376B" w:rsidRPr="004C6A05" w:rsidRDefault="00741200" w:rsidP="004C6A05">
      <w:pPr>
        <w:pStyle w:val="BodyText"/>
        <w:spacing w:line="360" w:lineRule="auto"/>
        <w:ind w:left="720" w:right="726"/>
        <w:rPr>
          <w:rFonts w:ascii="IBM Plex Sans" w:hAnsi="IBM Plex Sans"/>
          <w:color w:val="121212"/>
        </w:rPr>
      </w:pPr>
      <w:r w:rsidRPr="006E74E3">
        <w:rPr>
          <w:rFonts w:ascii="IBM Plex Sans" w:hAnsi="IBM Plex Sans"/>
          <w:b/>
          <w:bCs/>
          <w:color w:val="121212"/>
        </w:rPr>
        <w:t>Case closed:</w:t>
      </w:r>
      <w:r w:rsidRPr="004C6A05">
        <w:rPr>
          <w:rFonts w:ascii="IBM Plex Sans" w:hAnsi="IBM Plex Sans"/>
          <w:color w:val="121212"/>
        </w:rPr>
        <w:t xml:space="preserve"> Cases are considered closed when a person has not had a</w:t>
      </w:r>
      <w:r w:rsidR="00313E15" w:rsidRPr="004C6A05">
        <w:rPr>
          <w:rFonts w:ascii="IBM Plex Sans" w:hAnsi="IBM Plex Sans"/>
          <w:color w:val="121212"/>
        </w:rPr>
        <w:t xml:space="preserve">n </w:t>
      </w:r>
      <w:r w:rsidRPr="004C6A05">
        <w:rPr>
          <w:rFonts w:ascii="IBM Plex Sans" w:hAnsi="IBM Plex Sans"/>
          <w:color w:val="121212"/>
        </w:rPr>
        <w:t>appointment in six months and does not have an appointment scheduled in the future. To count suicide deaths for those enrolled in care, we suggest a rule that uses (1) the case closing date and (2) the time since the last kept appointment. Under such a rule, a suicide would not count if it occurred more than 30 days after a case was closed. But even if a case had been closed fewer than 30 days, or it was still open, the suicide would not be counted if it had been more than 180 days since the last face-to-face contact and there were no pending appointments at the time of the event.</w:t>
      </w:r>
    </w:p>
    <w:p w14:paraId="4846613D" w14:textId="77777777" w:rsidR="006E74E3" w:rsidRDefault="006E74E3" w:rsidP="004C6A05">
      <w:pPr>
        <w:pStyle w:val="BodyText"/>
        <w:spacing w:line="360" w:lineRule="auto"/>
        <w:ind w:left="720"/>
        <w:rPr>
          <w:rFonts w:ascii="IBM Plex Sans" w:hAnsi="IBM Plex Sans"/>
          <w:color w:val="121212"/>
        </w:rPr>
      </w:pPr>
    </w:p>
    <w:p w14:paraId="76EA5B7E" w14:textId="05F2A23B" w:rsidR="0077376B" w:rsidRPr="004C6A05" w:rsidRDefault="00741200" w:rsidP="004C6A05">
      <w:pPr>
        <w:pStyle w:val="BodyText"/>
        <w:spacing w:line="360" w:lineRule="auto"/>
        <w:ind w:left="720"/>
        <w:rPr>
          <w:rFonts w:ascii="IBM Plex Sans" w:hAnsi="IBM Plex Sans"/>
          <w:color w:val="121212"/>
        </w:rPr>
        <w:sectPr w:rsidR="0077376B" w:rsidRPr="004C6A05">
          <w:headerReference w:type="default" r:id="rId14"/>
          <w:footerReference w:type="default" r:id="rId15"/>
          <w:type w:val="continuous"/>
          <w:pgSz w:w="15840" w:h="12240" w:orient="landscape"/>
          <w:pgMar w:top="0" w:right="0" w:bottom="0" w:left="0" w:header="720" w:footer="720" w:gutter="0"/>
          <w:cols w:space="720"/>
        </w:sectPr>
      </w:pPr>
      <w:r w:rsidRPr="006E74E3">
        <w:rPr>
          <w:rFonts w:ascii="IBM Plex Sans" w:hAnsi="IBM Plex Sans"/>
          <w:b/>
          <w:bCs/>
          <w:color w:val="121212"/>
        </w:rPr>
        <w:t>Enrolled in care:</w:t>
      </w:r>
      <w:r w:rsidRPr="004C6A05">
        <w:rPr>
          <w:rFonts w:ascii="IBM Plex Sans" w:hAnsi="IBM Plex Sans"/>
          <w:color w:val="121212"/>
        </w:rPr>
        <w:t xml:space="preserve"> A patient enrolled in care is anyone with an open case file, who was admitted as a </w:t>
      </w:r>
      <w:r w:rsidR="00E52C1D" w:rsidRPr="004C6A05">
        <w:rPr>
          <w:rFonts w:ascii="IBM Plex Sans" w:hAnsi="IBM Plex Sans"/>
          <w:color w:val="121212"/>
        </w:rPr>
        <w:t>patient</w:t>
      </w:r>
      <w:r w:rsidRPr="004C6A05">
        <w:rPr>
          <w:rFonts w:ascii="IBM Plex Sans" w:hAnsi="IBM Plex Sans"/>
          <w:color w:val="121212"/>
        </w:rPr>
        <w:t>, or who has been seen at least once.</w:t>
      </w:r>
      <w:r w:rsidR="00561FBB" w:rsidRPr="004C6A05">
        <w:rPr>
          <w:rFonts w:ascii="IBM Plex Sans" w:hAnsi="IBM Plex Sans"/>
          <w:color w:val="121212"/>
        </w:rPr>
        <w:tab/>
      </w:r>
    </w:p>
    <w:p w14:paraId="754167E6" w14:textId="1E9B0FE6" w:rsidR="0077376B" w:rsidRPr="006E74E3" w:rsidRDefault="00741200" w:rsidP="004C6A05">
      <w:pPr>
        <w:pStyle w:val="BodyText"/>
        <w:spacing w:line="360" w:lineRule="auto"/>
        <w:ind w:left="720" w:right="1061"/>
        <w:jc w:val="both"/>
        <w:rPr>
          <w:rFonts w:ascii="IBM Plex Sans" w:hAnsi="IBM Plex Sans"/>
          <w:color w:val="121212"/>
        </w:rPr>
      </w:pPr>
      <w:r w:rsidRPr="006E74E3">
        <w:rPr>
          <w:rFonts w:ascii="IBM Plex Sans" w:hAnsi="IBM Plex Sans"/>
          <w:b/>
          <w:bCs/>
          <w:color w:val="121212"/>
        </w:rPr>
        <w:lastRenderedPageBreak/>
        <w:t>Open case file:</w:t>
      </w:r>
      <w:r w:rsidRPr="006E74E3">
        <w:rPr>
          <w:rFonts w:ascii="IBM Plex Sans" w:hAnsi="IBM Plex Sans"/>
          <w:color w:val="121212"/>
        </w:rPr>
        <w:t xml:space="preserve"> A case is considered open at the point of intake or first contact, regardless of whether the person is formally admitted into care. It is assumed that the screening, assessment, safety plan, and lethal means discussions will take place at the time of this intake or soon thereafter. If the </w:t>
      </w:r>
      <w:r w:rsidR="00BD4F8B" w:rsidRPr="006E74E3">
        <w:rPr>
          <w:rFonts w:ascii="IBM Plex Sans" w:hAnsi="IBM Plex Sans"/>
          <w:color w:val="121212"/>
        </w:rPr>
        <w:t>patient</w:t>
      </w:r>
      <w:r w:rsidRPr="006E74E3">
        <w:rPr>
          <w:rFonts w:ascii="IBM Plex Sans" w:hAnsi="IBM Plex Sans"/>
          <w:color w:val="121212"/>
        </w:rPr>
        <w:t xml:space="preserve"> is not immediately admitted due to a delay in appointments with a psychiatrist or another similar barrier, the case is still considered an open case file as of the first contact.</w:t>
      </w:r>
    </w:p>
    <w:p w14:paraId="5A0FC2AE" w14:textId="77777777" w:rsidR="00561FBB" w:rsidRPr="006E74E3" w:rsidRDefault="00561FBB" w:rsidP="004C6A05">
      <w:pPr>
        <w:pStyle w:val="BodyText"/>
        <w:spacing w:line="360" w:lineRule="auto"/>
        <w:ind w:left="720" w:right="731"/>
        <w:rPr>
          <w:rFonts w:ascii="IBM Plex Sans" w:hAnsi="IBM Plex Sans"/>
          <w:color w:val="121212"/>
        </w:rPr>
      </w:pPr>
    </w:p>
    <w:p w14:paraId="693BCF0C" w14:textId="4F2F0641" w:rsidR="0077376B" w:rsidRPr="006E74E3" w:rsidRDefault="00741200" w:rsidP="004C6A05">
      <w:pPr>
        <w:pStyle w:val="BodyText"/>
        <w:spacing w:line="360" w:lineRule="auto"/>
        <w:ind w:left="720" w:right="731"/>
        <w:rPr>
          <w:rFonts w:ascii="IBM Plex Sans" w:hAnsi="IBM Plex Sans"/>
          <w:color w:val="121212"/>
        </w:rPr>
      </w:pPr>
      <w:r w:rsidRPr="006E74E3">
        <w:rPr>
          <w:rFonts w:ascii="IBM Plex Sans" w:hAnsi="IBM Plex Sans"/>
          <w:b/>
          <w:bCs/>
          <w:color w:val="121212"/>
        </w:rPr>
        <w:t>Per 10,000 population:</w:t>
      </w:r>
      <w:r w:rsidRPr="006E74E3">
        <w:rPr>
          <w:rFonts w:ascii="IBM Plex Sans" w:hAnsi="IBM Plex Sans"/>
          <w:color w:val="121212"/>
        </w:rPr>
        <w:t xml:space="preserve"> Statistics around the prevalence of conditions or risk are often shown as “per 10,000 people</w:t>
      </w:r>
      <w:r w:rsidR="00E52C1D" w:rsidRPr="006E74E3">
        <w:rPr>
          <w:rFonts w:ascii="IBM Plex Sans" w:hAnsi="IBM Plex Sans"/>
          <w:color w:val="121212"/>
        </w:rPr>
        <w:t>.</w:t>
      </w:r>
      <w:r w:rsidRPr="006E74E3">
        <w:rPr>
          <w:rFonts w:ascii="IBM Plex Sans" w:hAnsi="IBM Plex Sans"/>
          <w:color w:val="121212"/>
        </w:rPr>
        <w:t>” For rate of suicide death, we recommend using the ‘per 10,000 people’ measure. For example, if 25 of the 4,500 people who were enrolled in your organization died from suicide in the last three months, the calculation is: 25 / 4,500 = .00555 * 10,000 = 55.5 per 10,000 people.</w:t>
      </w:r>
    </w:p>
    <w:p w14:paraId="11B6F51F" w14:textId="77777777" w:rsidR="00561FBB" w:rsidRPr="006E74E3" w:rsidRDefault="00561FBB" w:rsidP="004C6A05">
      <w:pPr>
        <w:pStyle w:val="BodyText"/>
        <w:spacing w:line="360" w:lineRule="auto"/>
        <w:ind w:left="720" w:right="872"/>
        <w:rPr>
          <w:rFonts w:ascii="IBM Plex Sans" w:hAnsi="IBM Plex Sans"/>
          <w:color w:val="121212"/>
        </w:rPr>
      </w:pPr>
    </w:p>
    <w:p w14:paraId="36830029" w14:textId="7AEA832B" w:rsidR="0077376B" w:rsidRPr="006E74E3" w:rsidRDefault="00741200" w:rsidP="004C6A05">
      <w:pPr>
        <w:pStyle w:val="BodyText"/>
        <w:spacing w:line="360" w:lineRule="auto"/>
        <w:ind w:left="720" w:right="872"/>
        <w:rPr>
          <w:rFonts w:ascii="IBM Plex Sans" w:hAnsi="IBM Plex Sans"/>
          <w:color w:val="121212"/>
        </w:rPr>
      </w:pPr>
      <w:r w:rsidRPr="006E74E3">
        <w:rPr>
          <w:rFonts w:ascii="IBM Plex Sans" w:hAnsi="IBM Plex Sans"/>
          <w:b/>
          <w:bCs/>
          <w:color w:val="121212"/>
        </w:rPr>
        <w:t>Risk assessment:</w:t>
      </w:r>
      <w:r w:rsidRPr="006E74E3">
        <w:rPr>
          <w:rFonts w:ascii="IBM Plex Sans" w:hAnsi="IBM Plex Sans"/>
          <w:color w:val="121212"/>
        </w:rPr>
        <w:t xml:space="preserve"> A suicide risk assessment is typically performed after an individual scores as ‘at risk’ on a suicide screen. Suicide risk assessment usually refers to a more comprehensive evaluation done by a clinician to confirm suspected suicide risk, estimate the immediate danger to the patient, and decide on a course of treatment. Although assessments can involve structured questionnaires, they also can include a more open-ended conversation with a patient and/or friends and family to gain insight into the patient’s thoughts and behavior, risk factors (e.g., access to lethal means or a history of suicide attempts), protective factors (e.g., immediate family support), and medical and mental health history.</w:t>
      </w:r>
    </w:p>
    <w:p w14:paraId="2A9DC1C4" w14:textId="77777777" w:rsidR="00561FBB" w:rsidRPr="006E74E3" w:rsidRDefault="00561FBB" w:rsidP="004C6A05">
      <w:pPr>
        <w:pStyle w:val="BodyText"/>
        <w:spacing w:line="360" w:lineRule="auto"/>
        <w:ind w:left="719" w:right="726"/>
        <w:rPr>
          <w:rFonts w:ascii="IBM Plex Sans" w:hAnsi="IBM Plex Sans"/>
          <w:color w:val="121212"/>
        </w:rPr>
      </w:pPr>
    </w:p>
    <w:p w14:paraId="5AAA07F3" w14:textId="253CDAAC" w:rsidR="0077376B" w:rsidRPr="006E74E3" w:rsidRDefault="00741200" w:rsidP="004C6A05">
      <w:pPr>
        <w:pStyle w:val="BodyText"/>
        <w:spacing w:line="360" w:lineRule="auto"/>
        <w:ind w:left="719" w:right="726"/>
        <w:rPr>
          <w:rFonts w:ascii="IBM Plex Sans" w:hAnsi="IBM Plex Sans"/>
          <w:color w:val="121212"/>
        </w:rPr>
      </w:pPr>
      <w:r w:rsidRPr="006E74E3">
        <w:rPr>
          <w:rFonts w:ascii="IBM Plex Sans" w:hAnsi="IBM Plex Sans"/>
          <w:b/>
          <w:bCs/>
          <w:color w:val="121212"/>
        </w:rPr>
        <w:t>Safety plan development:</w:t>
      </w:r>
      <w:r w:rsidRPr="006E74E3">
        <w:rPr>
          <w:rFonts w:ascii="IBM Plex Sans" w:hAnsi="IBM Plex Sans"/>
          <w:color w:val="121212"/>
        </w:rPr>
        <w:t xml:space="preserve"> Safety plans should be developed at the time of assessment when it is determined that a </w:t>
      </w:r>
      <w:r w:rsidR="00BD4F8B" w:rsidRPr="006E74E3">
        <w:rPr>
          <w:rFonts w:ascii="IBM Plex Sans" w:hAnsi="IBM Plex Sans"/>
          <w:color w:val="121212"/>
        </w:rPr>
        <w:t>patient</w:t>
      </w:r>
      <w:r w:rsidRPr="006E74E3">
        <w:rPr>
          <w:rFonts w:ascii="IBM Plex Sans" w:hAnsi="IBM Plex Sans"/>
          <w:color w:val="121212"/>
        </w:rPr>
        <w:t xml:space="preserve"> is at risk for suicide. While a safety plan may be updated and routinely monitored with the</w:t>
      </w:r>
      <w:r w:rsidR="00BD4F8B" w:rsidRPr="006E74E3">
        <w:rPr>
          <w:rFonts w:ascii="IBM Plex Sans" w:hAnsi="IBM Plex Sans"/>
          <w:color w:val="121212"/>
        </w:rPr>
        <w:t xml:space="preserve"> patient</w:t>
      </w:r>
      <w:r w:rsidRPr="006E74E3">
        <w:rPr>
          <w:rFonts w:ascii="IBM Plex Sans" w:hAnsi="IBM Plex Sans"/>
          <w:color w:val="121212"/>
        </w:rPr>
        <w:t>, only the initial safety plan should be counted in this metric.</w:t>
      </w:r>
    </w:p>
    <w:p w14:paraId="2DB597C8" w14:textId="77777777" w:rsidR="00561FBB" w:rsidRPr="006E74E3" w:rsidRDefault="00561FBB" w:rsidP="004C6A05">
      <w:pPr>
        <w:pStyle w:val="BodyText"/>
        <w:spacing w:line="360" w:lineRule="auto"/>
        <w:ind w:left="719" w:right="726"/>
        <w:rPr>
          <w:rFonts w:ascii="IBM Plex Sans" w:hAnsi="IBM Plex Sans"/>
          <w:color w:val="121212"/>
        </w:rPr>
      </w:pPr>
    </w:p>
    <w:p w14:paraId="47FFD410" w14:textId="184521F7" w:rsidR="0077376B" w:rsidRPr="006E74E3" w:rsidRDefault="00741200" w:rsidP="004C6A05">
      <w:pPr>
        <w:pStyle w:val="BodyText"/>
        <w:spacing w:line="360" w:lineRule="auto"/>
        <w:ind w:left="719" w:right="726"/>
        <w:rPr>
          <w:rFonts w:ascii="IBM Plex Sans" w:hAnsi="IBM Plex Sans"/>
          <w:color w:val="121212"/>
        </w:rPr>
      </w:pPr>
      <w:r w:rsidRPr="006E74E3">
        <w:rPr>
          <w:rFonts w:ascii="IBM Plex Sans" w:hAnsi="IBM Plex Sans"/>
          <w:b/>
          <w:bCs/>
          <w:color w:val="121212"/>
        </w:rPr>
        <w:t>Screening:</w:t>
      </w:r>
      <w:r w:rsidRPr="006E74E3">
        <w:rPr>
          <w:rFonts w:ascii="IBM Plex Sans" w:hAnsi="IBM Plex Sans"/>
          <w:color w:val="121212"/>
        </w:rPr>
        <w:t xml:space="preserve"> Suicide prevention experts usually use the term suicide screening to refer to a procedure in which a standardized instrument or protocol is used to identify individuals who may be at risk for suicide. Screening tools are brief questionnaires that measure the individual’s suicide risk. </w:t>
      </w:r>
      <w:r w:rsidR="004C6A05" w:rsidRPr="006E74E3">
        <w:rPr>
          <w:rFonts w:ascii="IBM Plex Sans" w:hAnsi="IBM Plex Sans"/>
          <w:color w:val="121212"/>
        </w:rPr>
        <w:t>In</w:t>
      </w:r>
      <w:r w:rsidRPr="006E74E3">
        <w:rPr>
          <w:rFonts w:ascii="IBM Plex Sans" w:hAnsi="IBM Plex Sans"/>
          <w:color w:val="121212"/>
        </w:rPr>
        <w:t xml:space="preserve"> measuring screening rates, each </w:t>
      </w:r>
      <w:r w:rsidR="00BD4F8B" w:rsidRPr="006E74E3">
        <w:rPr>
          <w:rFonts w:ascii="IBM Plex Sans" w:hAnsi="IBM Plex Sans"/>
          <w:color w:val="121212"/>
        </w:rPr>
        <w:t>patient</w:t>
      </w:r>
      <w:r w:rsidRPr="006E74E3">
        <w:rPr>
          <w:rFonts w:ascii="IBM Plex Sans" w:hAnsi="IBM Plex Sans"/>
          <w:color w:val="121212"/>
        </w:rPr>
        <w:t xml:space="preserve"> is assumed to be screened only once. While this may not be the case in practice, do not count additional screenings on any </w:t>
      </w:r>
      <w:r w:rsidR="00BD4F8B" w:rsidRPr="006E74E3">
        <w:rPr>
          <w:rFonts w:ascii="IBM Plex Sans" w:hAnsi="IBM Plex Sans"/>
          <w:color w:val="121212"/>
        </w:rPr>
        <w:t>patient</w:t>
      </w:r>
      <w:r w:rsidRPr="006E74E3">
        <w:rPr>
          <w:rFonts w:ascii="IBM Plex Sans" w:hAnsi="IBM Plex Sans"/>
          <w:color w:val="121212"/>
        </w:rPr>
        <w:t xml:space="preserve"> in your total. Screening to determine that a person is at risk for suicide can occur during intake or at any point later in care.</w:t>
      </w:r>
    </w:p>
    <w:p w14:paraId="6D5107B3" w14:textId="77777777" w:rsidR="00561FBB" w:rsidRPr="006E74E3" w:rsidRDefault="00561FBB" w:rsidP="004C6A05">
      <w:pPr>
        <w:pStyle w:val="BodyText"/>
        <w:spacing w:line="360" w:lineRule="auto"/>
        <w:ind w:left="720"/>
        <w:rPr>
          <w:rFonts w:ascii="IBM Plex Sans" w:hAnsi="IBM Plex Sans"/>
          <w:color w:val="121212"/>
        </w:rPr>
      </w:pPr>
    </w:p>
    <w:p w14:paraId="45209E36" w14:textId="6F2FC9B7" w:rsidR="0077376B" w:rsidRPr="006E74E3" w:rsidRDefault="00741200" w:rsidP="003F3EC8">
      <w:pPr>
        <w:pStyle w:val="BodyText"/>
        <w:spacing w:line="360" w:lineRule="auto"/>
        <w:ind w:left="720"/>
        <w:rPr>
          <w:rFonts w:ascii="IBM Plex Sans" w:hAnsi="IBM Plex Sans"/>
          <w:color w:val="121212"/>
        </w:rPr>
      </w:pPr>
      <w:r w:rsidRPr="006E74E3">
        <w:rPr>
          <w:rFonts w:ascii="IBM Plex Sans" w:hAnsi="IBM Plex Sans"/>
          <w:b/>
          <w:bCs/>
          <w:color w:val="121212"/>
        </w:rPr>
        <w:t>Suicide attempt:</w:t>
      </w:r>
      <w:r w:rsidRPr="006E74E3">
        <w:rPr>
          <w:rFonts w:ascii="IBM Plex Sans" w:hAnsi="IBM Plex Sans"/>
          <w:color w:val="121212"/>
        </w:rPr>
        <w:t xml:space="preserve"> Suicide attempts should be carefully and consistently defined by your organization and staff. </w:t>
      </w:r>
      <w:hyperlink r:id="rId16" w:history="1">
        <w:r w:rsidR="003F3EC8" w:rsidRPr="006E74E3">
          <w:rPr>
            <w:rStyle w:val="Hyperlink"/>
            <w:rFonts w:ascii="IBM Plex Sans" w:hAnsi="IBM Plex Sans"/>
            <w:color w:val="296BF7"/>
          </w:rPr>
          <w:t>Click for</w:t>
        </w:r>
        <w:r w:rsidRPr="006E74E3">
          <w:rPr>
            <w:rStyle w:val="Hyperlink"/>
            <w:rFonts w:ascii="IBM Plex Sans" w:hAnsi="IBM Plex Sans"/>
            <w:color w:val="296BF7"/>
          </w:rPr>
          <w:t xml:space="preserve"> guidance on how to classify suicide behaviors</w:t>
        </w:r>
      </w:hyperlink>
      <w:r w:rsidR="003F3EC8" w:rsidRPr="006E74E3">
        <w:rPr>
          <w:rFonts w:ascii="IBM Plex Sans" w:hAnsi="IBM Plex Sans"/>
          <w:color w:val="121212"/>
        </w:rPr>
        <w:t>.</w:t>
      </w:r>
    </w:p>
    <w:p w14:paraId="0F626492" w14:textId="77777777" w:rsidR="0077376B" w:rsidRPr="006E74E3" w:rsidRDefault="0077376B" w:rsidP="004C6A05">
      <w:pPr>
        <w:pStyle w:val="BodyText"/>
        <w:spacing w:line="360" w:lineRule="auto"/>
        <w:rPr>
          <w:rFonts w:ascii="IBM Plex Sans" w:hAnsi="IBM Plex Sans"/>
          <w:color w:val="121212"/>
          <w:sz w:val="22"/>
        </w:rPr>
      </w:pPr>
    </w:p>
    <w:p w14:paraId="7009FB9A" w14:textId="73C7CD00" w:rsidR="0077376B" w:rsidRPr="006E74E3" w:rsidRDefault="00741200" w:rsidP="004C6A05">
      <w:pPr>
        <w:pStyle w:val="BodyText"/>
        <w:spacing w:line="360" w:lineRule="auto"/>
        <w:ind w:left="719" w:right="872"/>
        <w:rPr>
          <w:rFonts w:ascii="IBM Plex Sans" w:hAnsi="IBM Plex Sans"/>
          <w:color w:val="121212"/>
        </w:rPr>
        <w:sectPr w:rsidR="0077376B" w:rsidRPr="006E74E3">
          <w:headerReference w:type="default" r:id="rId17"/>
          <w:footerReference w:type="default" r:id="rId18"/>
          <w:pgSz w:w="15840" w:h="12240" w:orient="landscape"/>
          <w:pgMar w:top="1080" w:right="0" w:bottom="740" w:left="0" w:header="0" w:footer="556" w:gutter="0"/>
          <w:pgNumType w:start="2"/>
          <w:cols w:space="720"/>
        </w:sectPr>
      </w:pPr>
      <w:r w:rsidRPr="006E74E3">
        <w:rPr>
          <w:rFonts w:ascii="IBM Plex Sans" w:hAnsi="IBM Plex Sans"/>
          <w:b/>
          <w:bCs/>
          <w:color w:val="121212"/>
        </w:rPr>
        <w:t>Suicide care management plan:</w:t>
      </w:r>
      <w:r w:rsidRPr="006E74E3">
        <w:rPr>
          <w:rFonts w:ascii="IBM Plex Sans" w:hAnsi="IBM Plex Sans"/>
          <w:color w:val="121212"/>
        </w:rPr>
        <w:t xml:space="preserve"> The suicide care management plan is an organization-wide pathway t</w:t>
      </w:r>
      <w:r w:rsidR="003F3EC8" w:rsidRPr="006E74E3">
        <w:rPr>
          <w:rFonts w:ascii="IBM Plex Sans" w:hAnsi="IBM Plex Sans"/>
          <w:color w:val="121212"/>
        </w:rPr>
        <w:t xml:space="preserve">o care </w:t>
      </w:r>
      <w:r w:rsidRPr="006E74E3">
        <w:rPr>
          <w:rFonts w:ascii="IBM Plex Sans" w:hAnsi="IBM Plex Sans"/>
          <w:color w:val="121212"/>
        </w:rPr>
        <w:t>develop</w:t>
      </w:r>
      <w:r w:rsidR="003F3EC8" w:rsidRPr="006E74E3">
        <w:rPr>
          <w:rFonts w:ascii="IBM Plex Sans" w:hAnsi="IBM Plex Sans"/>
          <w:color w:val="121212"/>
        </w:rPr>
        <w:t>ed</w:t>
      </w:r>
      <w:r w:rsidRPr="006E74E3">
        <w:rPr>
          <w:rFonts w:ascii="IBM Plex Sans" w:hAnsi="IBM Plex Sans"/>
          <w:color w:val="121212"/>
        </w:rPr>
        <w:t xml:space="preserve"> to ensure that all individuals at risk for suicide receive timely, continuous, and effective suicide care services. An individual should be placed on a suicide care management plan </w:t>
      </w:r>
      <w:proofErr w:type="gramStart"/>
      <w:r w:rsidRPr="006E74E3">
        <w:rPr>
          <w:rFonts w:ascii="IBM Plex Sans" w:hAnsi="IBM Plex Sans"/>
          <w:color w:val="121212"/>
        </w:rPr>
        <w:t>as a result of</w:t>
      </w:r>
      <w:proofErr w:type="gramEnd"/>
      <w:r w:rsidRPr="006E74E3">
        <w:rPr>
          <w:rFonts w:ascii="IBM Plex Sans" w:hAnsi="IBM Plex Sans"/>
          <w:color w:val="121212"/>
        </w:rPr>
        <w:t xml:space="preserve"> being screened and assessed positive for suicide risk. Please see the </w:t>
      </w:r>
      <w:hyperlink r:id="rId19" w:history="1">
        <w:r w:rsidR="0077376B" w:rsidRPr="006E74E3">
          <w:rPr>
            <w:rStyle w:val="Hyperlink"/>
            <w:rFonts w:ascii="IBM Plex Sans" w:hAnsi="IBM Plex Sans"/>
            <w:color w:val="296BF7"/>
          </w:rPr>
          <w:t>Engage</w:t>
        </w:r>
      </w:hyperlink>
      <w:r w:rsidRPr="006E74E3">
        <w:rPr>
          <w:rFonts w:ascii="IBM Plex Sans" w:hAnsi="IBM Plex Sans"/>
          <w:color w:val="121212"/>
        </w:rPr>
        <w:t xml:space="preserve"> section of our</w:t>
      </w:r>
      <w:r w:rsidRPr="006E74E3">
        <w:rPr>
          <w:rFonts w:ascii="IBM Plex Sans" w:hAnsi="IBM Plex Sans"/>
          <w:color w:val="296BF7"/>
        </w:rPr>
        <w:t xml:space="preserve"> </w:t>
      </w:r>
      <w:hyperlink r:id="rId20" w:history="1">
        <w:r w:rsidR="0077376B" w:rsidRPr="006E74E3">
          <w:rPr>
            <w:rStyle w:val="Hyperlink"/>
            <w:rFonts w:ascii="IBM Plex Sans" w:hAnsi="IBM Plex Sans"/>
            <w:color w:val="296BF7"/>
          </w:rPr>
          <w:t>online toolkit</w:t>
        </w:r>
      </w:hyperlink>
      <w:r w:rsidRPr="006E74E3">
        <w:rPr>
          <w:rFonts w:ascii="IBM Plex Sans" w:hAnsi="IBM Plex Sans"/>
          <w:color w:val="121212"/>
        </w:rPr>
        <w:t xml:space="preserve"> for more information about developing a suicide care management plan</w:t>
      </w:r>
      <w:r w:rsidR="00E52C1D" w:rsidRPr="006E74E3">
        <w:rPr>
          <w:rFonts w:ascii="IBM Plex Sans" w:hAnsi="IBM Plex Sans"/>
          <w:color w:val="121212"/>
        </w:rPr>
        <w:t>.</w:t>
      </w:r>
      <w:r w:rsidRPr="006E74E3">
        <w:rPr>
          <w:rFonts w:ascii="IBM Plex Sans" w:hAnsi="IBM Plex Sans"/>
          <w:color w:val="121212"/>
        </w:rPr>
        <w:t xml:space="preserve"> </w:t>
      </w:r>
    </w:p>
    <w:p w14:paraId="69E101DD" w14:textId="2EED7554" w:rsidR="0077376B" w:rsidRPr="002458E5" w:rsidRDefault="00741200" w:rsidP="00561FBB">
      <w:pPr>
        <w:pStyle w:val="BodyText"/>
        <w:tabs>
          <w:tab w:val="left" w:pos="11350"/>
          <w:tab w:val="left" w:pos="11436"/>
        </w:tabs>
        <w:spacing w:line="480" w:lineRule="auto"/>
        <w:ind w:left="720" w:right="4399"/>
        <w:rPr>
          <w:rFonts w:ascii="IBM Plex Sans" w:hAnsi="IBM Plex Sans"/>
          <w:color w:val="8C3B61"/>
          <w:sz w:val="22"/>
          <w:szCs w:val="22"/>
        </w:rPr>
      </w:pPr>
      <w:r w:rsidRPr="003F3EC8">
        <w:rPr>
          <w:rFonts w:ascii="IBM Plex Sans" w:hAnsi="IBM Plex Sans"/>
          <w:color w:val="121212"/>
        </w:rPr>
        <w:lastRenderedPageBreak/>
        <w:t xml:space="preserve">Today’s date:  </w:t>
      </w:r>
      <w:r w:rsidRPr="003F3EC8">
        <w:rPr>
          <w:rFonts w:ascii="IBM Plex Sans" w:hAnsi="IBM Plex Sans"/>
          <w:color w:val="121212"/>
          <w:u w:val="single" w:color="57585A"/>
        </w:rPr>
        <w:t xml:space="preserve"> </w:t>
      </w:r>
      <w:r w:rsidRPr="003F3EC8">
        <w:rPr>
          <w:rFonts w:ascii="IBM Plex Sans" w:hAnsi="IBM Plex Sans"/>
          <w:color w:val="121212"/>
          <w:u w:val="single" w:color="57585A"/>
        </w:rPr>
        <w:tab/>
      </w:r>
      <w:r w:rsidRPr="003F3EC8">
        <w:rPr>
          <w:rFonts w:ascii="IBM Plex Sans" w:hAnsi="IBM Plex Sans"/>
          <w:color w:val="121212"/>
          <w:u w:val="single" w:color="57585A"/>
        </w:rPr>
        <w:tab/>
      </w:r>
      <w:r w:rsidRPr="003F3EC8">
        <w:rPr>
          <w:rFonts w:ascii="IBM Plex Sans" w:hAnsi="IBM Plex Sans"/>
          <w:color w:val="121212"/>
        </w:rPr>
        <w:t xml:space="preserve"> Reportin</w:t>
      </w:r>
      <w:r w:rsidR="002458E5" w:rsidRPr="003F3EC8">
        <w:rPr>
          <w:rFonts w:ascii="IBM Plex Sans" w:hAnsi="IBM Plex Sans"/>
          <w:color w:val="121212"/>
        </w:rPr>
        <w:t xml:space="preserve">g </w:t>
      </w:r>
      <w:r w:rsidRPr="003F3EC8">
        <w:rPr>
          <w:rFonts w:ascii="IBM Plex Sans" w:hAnsi="IBM Plex Sans"/>
          <w:color w:val="121212"/>
        </w:rPr>
        <w:t xml:space="preserve">period (DD/MM/YY to DD/MM/YY): </w:t>
      </w:r>
      <w:r w:rsidRPr="003F3EC8">
        <w:rPr>
          <w:rFonts w:ascii="IBM Plex Sans" w:hAnsi="IBM Plex Sans"/>
          <w:color w:val="121212"/>
          <w:u w:val="single" w:color="57585A"/>
        </w:rPr>
        <w:t xml:space="preserve"> </w:t>
      </w:r>
      <w:r w:rsidRPr="003F3EC8">
        <w:rPr>
          <w:rFonts w:ascii="IBM Plex Sans" w:hAnsi="IBM Plex Sans"/>
          <w:color w:val="121212"/>
          <w:u w:val="single" w:color="57585A"/>
        </w:rPr>
        <w:tab/>
      </w:r>
      <w:r w:rsidRPr="003F3EC8">
        <w:rPr>
          <w:rFonts w:ascii="IBM Plex Sans" w:hAnsi="IBM Plex Sans"/>
          <w:color w:val="121212"/>
          <w:u w:val="single" w:color="57585A"/>
        </w:rPr>
        <w:tab/>
      </w:r>
      <w:r w:rsidRPr="003F3EC8">
        <w:rPr>
          <w:rFonts w:ascii="IBM Plex Sans" w:hAnsi="IBM Plex Sans"/>
          <w:color w:val="121212"/>
        </w:rPr>
        <w:t xml:space="preserve"> Nam</w:t>
      </w:r>
      <w:r w:rsidR="002458E5" w:rsidRPr="003F3EC8">
        <w:rPr>
          <w:rFonts w:ascii="IBM Plex Sans" w:hAnsi="IBM Plex Sans"/>
          <w:color w:val="121212"/>
        </w:rPr>
        <w:t xml:space="preserve">e of </w:t>
      </w:r>
      <w:r w:rsidRPr="003F3EC8">
        <w:rPr>
          <w:rFonts w:ascii="IBM Plex Sans" w:hAnsi="IBM Plex Sans"/>
          <w:color w:val="121212"/>
        </w:rPr>
        <w:t xml:space="preserve">organization:  </w:t>
      </w:r>
      <w:r w:rsidRPr="003F3EC8">
        <w:rPr>
          <w:rFonts w:ascii="IBM Plex Sans" w:hAnsi="IBM Plex Sans"/>
          <w:color w:val="121212"/>
          <w:u w:val="single" w:color="57585A"/>
        </w:rPr>
        <w:t xml:space="preserve"> </w:t>
      </w:r>
      <w:proofErr w:type="gramStart"/>
      <w:r w:rsidRPr="003F3EC8">
        <w:rPr>
          <w:rFonts w:ascii="IBM Plex Sans" w:hAnsi="IBM Plex Sans"/>
          <w:color w:val="121212"/>
          <w:u w:val="single" w:color="57585A"/>
        </w:rPr>
        <w:tab/>
        <w:t xml:space="preserve"> </w:t>
      </w:r>
      <w:r w:rsidRPr="003F3EC8">
        <w:rPr>
          <w:rFonts w:ascii="IBM Plex Sans" w:hAnsi="IBM Plex Sans"/>
          <w:color w:val="121212"/>
        </w:rPr>
        <w:t xml:space="preserve"> Name</w:t>
      </w:r>
      <w:proofErr w:type="gramEnd"/>
      <w:r w:rsidR="002458E5" w:rsidRPr="003F3EC8">
        <w:rPr>
          <w:rFonts w:ascii="IBM Plex Sans" w:hAnsi="IBM Plex Sans"/>
          <w:color w:val="121212"/>
        </w:rPr>
        <w:t xml:space="preserve"> </w:t>
      </w:r>
      <w:r w:rsidRPr="003F3EC8">
        <w:rPr>
          <w:rFonts w:ascii="IBM Plex Sans" w:hAnsi="IBM Plex Sans"/>
          <w:color w:val="121212"/>
        </w:rPr>
        <w:t>o</w:t>
      </w:r>
      <w:r w:rsidR="002458E5" w:rsidRPr="003F3EC8">
        <w:rPr>
          <w:rFonts w:ascii="IBM Plex Sans" w:hAnsi="IBM Plex Sans"/>
          <w:color w:val="121212"/>
        </w:rPr>
        <w:t xml:space="preserve">f </w:t>
      </w:r>
      <w:r w:rsidRPr="003F3EC8">
        <w:rPr>
          <w:rFonts w:ascii="IBM Plex Sans" w:hAnsi="IBM Plex Sans"/>
          <w:color w:val="121212"/>
        </w:rPr>
        <w:t>perso</w:t>
      </w:r>
      <w:r w:rsidR="002458E5" w:rsidRPr="003F3EC8">
        <w:rPr>
          <w:rFonts w:ascii="IBM Plex Sans" w:hAnsi="IBM Plex Sans"/>
          <w:color w:val="121212"/>
        </w:rPr>
        <w:t xml:space="preserve">n </w:t>
      </w:r>
      <w:r w:rsidRPr="003F3EC8">
        <w:rPr>
          <w:rFonts w:ascii="IBM Plex Sans" w:hAnsi="IBM Plex Sans"/>
          <w:color w:val="121212"/>
        </w:rPr>
        <w:t>completin</w:t>
      </w:r>
      <w:r w:rsidR="002458E5" w:rsidRPr="003F3EC8">
        <w:rPr>
          <w:rFonts w:ascii="IBM Plex Sans" w:hAnsi="IBM Plex Sans"/>
          <w:color w:val="121212"/>
        </w:rPr>
        <w:t xml:space="preserve">g </w:t>
      </w:r>
      <w:r w:rsidRPr="003F3EC8">
        <w:rPr>
          <w:rFonts w:ascii="IBM Plex Sans" w:hAnsi="IBM Plex Sans"/>
          <w:color w:val="121212"/>
        </w:rPr>
        <w:t xml:space="preserve"> worksheet</w:t>
      </w:r>
      <w:r w:rsidR="00561FBB" w:rsidRPr="003F3EC8">
        <w:rPr>
          <w:rFonts w:ascii="IBM Plex Sans" w:hAnsi="IBM Plex Sans"/>
          <w:color w:val="121212"/>
        </w:rPr>
        <w:t xml:space="preserve">:  </w:t>
      </w:r>
      <w:r w:rsidR="00561FBB" w:rsidRPr="003F3EC8">
        <w:rPr>
          <w:rFonts w:ascii="IBM Plex Sans" w:hAnsi="IBM Plex Sans"/>
          <w:color w:val="121212"/>
          <w:u w:val="single" w:color="57585A"/>
        </w:rPr>
        <w:t xml:space="preserve"> </w:t>
      </w:r>
      <w:r w:rsidR="00561FBB" w:rsidRPr="003F3EC8">
        <w:rPr>
          <w:rFonts w:ascii="IBM Plex Sans" w:hAnsi="IBM Plex Sans"/>
          <w:color w:val="121212"/>
          <w:u w:val="single" w:color="57585A"/>
        </w:rPr>
        <w:tab/>
      </w:r>
      <w:r w:rsidR="00561FBB" w:rsidRPr="002458E5">
        <w:rPr>
          <w:rFonts w:ascii="IBM Plex Sans" w:hAnsi="IBM Plex Sans"/>
          <w:color w:val="58595B"/>
          <w:u w:val="single" w:color="57585A"/>
        </w:rPr>
        <w:t xml:space="preserve"> </w:t>
      </w:r>
    </w:p>
    <w:p w14:paraId="781174D1" w14:textId="46AFF835" w:rsidR="0077376B" w:rsidRPr="006E74E3" w:rsidRDefault="00741200" w:rsidP="006E74E3">
      <w:pPr>
        <w:pStyle w:val="Heading1"/>
        <w:spacing w:before="240" w:after="240"/>
        <w:rPr>
          <w:rFonts w:ascii="IBM Plex Sans Medm" w:hAnsi="IBM Plex Sans Medm"/>
          <w:color w:val="8C3B61"/>
          <w:sz w:val="28"/>
          <w:szCs w:val="28"/>
        </w:rPr>
      </w:pPr>
      <w:r w:rsidRPr="006E74E3">
        <w:rPr>
          <w:rFonts w:ascii="IBM Plex Sans Medm" w:hAnsi="IBM Plex Sans Medm"/>
          <w:color w:val="8C3B61"/>
          <w:sz w:val="28"/>
          <w:szCs w:val="28"/>
        </w:rPr>
        <w:t>Recommended Measures</w:t>
      </w:r>
    </w:p>
    <w:p w14:paraId="50BB6797" w14:textId="77777777" w:rsidR="0077376B" w:rsidRPr="002458E5" w:rsidRDefault="0077376B" w:rsidP="00561FBB">
      <w:pPr>
        <w:pStyle w:val="BodyText"/>
        <w:rPr>
          <w:rFonts w:ascii="IBM Plex Sans" w:hAnsi="IBM Plex Sans"/>
          <w:sz w:val="6"/>
        </w:rPr>
      </w:pPr>
    </w:p>
    <w:tbl>
      <w:tblPr>
        <w:tblW w:w="0" w:type="auto"/>
        <w:tblInd w:w="765" w:type="dxa"/>
        <w:tblBorders>
          <w:top w:val="single" w:sz="18" w:space="0" w:color="E3E4E7"/>
          <w:left w:val="single" w:sz="18" w:space="0" w:color="E3E4E7"/>
          <w:bottom w:val="single" w:sz="18" w:space="0" w:color="E3E4E7"/>
          <w:right w:val="single" w:sz="18" w:space="0" w:color="E3E4E7"/>
          <w:insideH w:val="single" w:sz="18" w:space="0" w:color="E3E4E7"/>
          <w:insideV w:val="single" w:sz="18" w:space="0" w:color="E3E4E7"/>
        </w:tblBorders>
        <w:tblLayout w:type="fixed"/>
        <w:tblCellMar>
          <w:left w:w="0" w:type="dxa"/>
          <w:right w:w="0" w:type="dxa"/>
        </w:tblCellMar>
        <w:tblLook w:val="01E0" w:firstRow="1" w:lastRow="1" w:firstColumn="1" w:lastColumn="1" w:noHBand="0" w:noVBand="0"/>
      </w:tblPr>
      <w:tblGrid>
        <w:gridCol w:w="823"/>
        <w:gridCol w:w="1899"/>
        <w:gridCol w:w="3221"/>
        <w:gridCol w:w="1729"/>
        <w:gridCol w:w="3615"/>
        <w:gridCol w:w="1729"/>
        <w:gridCol w:w="1349"/>
      </w:tblGrid>
      <w:tr w:rsidR="0077376B" w:rsidRPr="006E74E3" w14:paraId="0BEE066A" w14:textId="77777777" w:rsidTr="00561FBB">
        <w:trPr>
          <w:trHeight w:val="442"/>
        </w:trPr>
        <w:tc>
          <w:tcPr>
            <w:tcW w:w="823" w:type="dxa"/>
            <w:tcBorders>
              <w:bottom w:val="nil"/>
              <w:right w:val="single" w:sz="4" w:space="0" w:color="AFB5BF"/>
            </w:tcBorders>
            <w:shd w:val="clear" w:color="auto" w:fill="B85784"/>
            <w:vAlign w:val="center"/>
          </w:tcPr>
          <w:p w14:paraId="4081FAD3" w14:textId="77777777" w:rsidR="0077376B" w:rsidRPr="002458E5" w:rsidRDefault="0077376B" w:rsidP="00561FBB">
            <w:pPr>
              <w:pStyle w:val="TableParagraph"/>
              <w:jc w:val="center"/>
              <w:rPr>
                <w:rFonts w:ascii="IBM Plex Sans" w:hAnsi="IBM Plex Sans"/>
                <w:sz w:val="18"/>
              </w:rPr>
            </w:pPr>
          </w:p>
        </w:tc>
        <w:tc>
          <w:tcPr>
            <w:tcW w:w="1899" w:type="dxa"/>
            <w:tcBorders>
              <w:left w:val="single" w:sz="4" w:space="0" w:color="AFB5BF"/>
              <w:bottom w:val="nil"/>
              <w:right w:val="single" w:sz="4" w:space="0" w:color="AFB5BF"/>
            </w:tcBorders>
            <w:shd w:val="clear" w:color="auto" w:fill="B85784"/>
            <w:vAlign w:val="center"/>
          </w:tcPr>
          <w:p w14:paraId="55804ADD" w14:textId="77777777" w:rsidR="0077376B" w:rsidRPr="006E74E3" w:rsidRDefault="00741200" w:rsidP="00561FBB">
            <w:pPr>
              <w:pStyle w:val="TableParagraph"/>
              <w:jc w:val="center"/>
              <w:rPr>
                <w:rFonts w:ascii="IBM Plex Sans Medm" w:hAnsi="IBM Plex Sans Medm"/>
                <w:b/>
                <w:bCs/>
                <w:sz w:val="19"/>
              </w:rPr>
            </w:pPr>
            <w:r w:rsidRPr="006E74E3">
              <w:rPr>
                <w:rFonts w:ascii="IBM Plex Sans Medm" w:hAnsi="IBM Plex Sans Medm"/>
                <w:b/>
                <w:bCs/>
                <w:color w:val="FFFFFF"/>
                <w:sz w:val="19"/>
              </w:rPr>
              <w:t>Measure</w:t>
            </w:r>
          </w:p>
        </w:tc>
        <w:tc>
          <w:tcPr>
            <w:tcW w:w="4950" w:type="dxa"/>
            <w:gridSpan w:val="2"/>
            <w:tcBorders>
              <w:left w:val="single" w:sz="4" w:space="0" w:color="AFB5BF"/>
              <w:bottom w:val="nil"/>
              <w:right w:val="single" w:sz="4" w:space="0" w:color="AFB5BF"/>
            </w:tcBorders>
            <w:shd w:val="clear" w:color="auto" w:fill="B85784"/>
            <w:vAlign w:val="center"/>
          </w:tcPr>
          <w:p w14:paraId="35C4F4CD" w14:textId="2E3C149A" w:rsidR="0077376B" w:rsidRPr="006E74E3" w:rsidRDefault="00741200" w:rsidP="00561FBB">
            <w:pPr>
              <w:pStyle w:val="TableParagraph"/>
              <w:ind w:right="1705"/>
              <w:jc w:val="center"/>
              <w:rPr>
                <w:rFonts w:ascii="IBM Plex Sans Medm" w:hAnsi="IBM Plex Sans Medm"/>
                <w:b/>
                <w:bCs/>
                <w:sz w:val="19"/>
              </w:rPr>
            </w:pPr>
            <w:r w:rsidRPr="006E74E3">
              <w:rPr>
                <w:rFonts w:ascii="IBM Plex Sans Medm" w:hAnsi="IBM Plex Sans Medm"/>
                <w:b/>
                <w:bCs/>
                <w:color w:val="FFFFFF"/>
                <w:sz w:val="19"/>
              </w:rPr>
              <w:t>Numera</w:t>
            </w:r>
            <w:r w:rsidR="00561FBB" w:rsidRPr="006E74E3">
              <w:rPr>
                <w:rFonts w:ascii="IBM Plex Sans Medm" w:hAnsi="IBM Plex Sans Medm"/>
                <w:b/>
                <w:bCs/>
                <w:color w:val="FFFFFF"/>
                <w:sz w:val="19"/>
              </w:rPr>
              <w:t>t</w:t>
            </w:r>
            <w:r w:rsidRPr="006E74E3">
              <w:rPr>
                <w:rFonts w:ascii="IBM Plex Sans Medm" w:hAnsi="IBM Plex Sans Medm"/>
                <w:b/>
                <w:bCs/>
                <w:color w:val="FFFFFF"/>
                <w:sz w:val="19"/>
              </w:rPr>
              <w:t>or</w:t>
            </w:r>
          </w:p>
        </w:tc>
        <w:tc>
          <w:tcPr>
            <w:tcW w:w="5344" w:type="dxa"/>
            <w:gridSpan w:val="2"/>
            <w:tcBorders>
              <w:left w:val="single" w:sz="4" w:space="0" w:color="AFB5BF"/>
              <w:bottom w:val="nil"/>
              <w:right w:val="single" w:sz="4" w:space="0" w:color="E3E4E7"/>
            </w:tcBorders>
            <w:shd w:val="clear" w:color="auto" w:fill="B85784"/>
            <w:vAlign w:val="center"/>
          </w:tcPr>
          <w:p w14:paraId="5FF02141" w14:textId="77777777" w:rsidR="0077376B" w:rsidRPr="006E74E3" w:rsidRDefault="00741200" w:rsidP="00561FBB">
            <w:pPr>
              <w:pStyle w:val="TableParagraph"/>
              <w:ind w:right="1651"/>
              <w:jc w:val="center"/>
              <w:rPr>
                <w:rFonts w:ascii="IBM Plex Sans Medm" w:hAnsi="IBM Plex Sans Medm"/>
                <w:b/>
                <w:bCs/>
                <w:sz w:val="19"/>
              </w:rPr>
            </w:pPr>
            <w:r w:rsidRPr="006E74E3">
              <w:rPr>
                <w:rFonts w:ascii="IBM Plex Sans Medm" w:hAnsi="IBM Plex Sans Medm"/>
                <w:b/>
                <w:bCs/>
                <w:color w:val="FFFFFF"/>
                <w:sz w:val="19"/>
              </w:rPr>
              <w:t>Denominator</w:t>
            </w:r>
          </w:p>
        </w:tc>
        <w:tc>
          <w:tcPr>
            <w:tcW w:w="1349" w:type="dxa"/>
            <w:tcBorders>
              <w:left w:val="single" w:sz="4" w:space="0" w:color="E3E4E7"/>
              <w:bottom w:val="nil"/>
            </w:tcBorders>
            <w:shd w:val="clear" w:color="auto" w:fill="B85784"/>
            <w:vAlign w:val="center"/>
          </w:tcPr>
          <w:p w14:paraId="1A38B114" w14:textId="77777777" w:rsidR="0077376B" w:rsidRPr="006E74E3" w:rsidRDefault="00741200" w:rsidP="00561FBB">
            <w:pPr>
              <w:pStyle w:val="TableParagraph"/>
              <w:ind w:left="48"/>
              <w:jc w:val="center"/>
              <w:rPr>
                <w:rFonts w:ascii="IBM Plex Sans Medm" w:hAnsi="IBM Plex Sans Medm"/>
                <w:b/>
                <w:bCs/>
                <w:sz w:val="19"/>
              </w:rPr>
            </w:pPr>
            <w:r w:rsidRPr="006E74E3">
              <w:rPr>
                <w:rFonts w:ascii="IBM Plex Sans Medm" w:hAnsi="IBM Plex Sans Medm"/>
                <w:b/>
                <w:bCs/>
                <w:color w:val="FFFFFF"/>
                <w:sz w:val="19"/>
              </w:rPr>
              <w:t>%</w:t>
            </w:r>
          </w:p>
        </w:tc>
      </w:tr>
      <w:tr w:rsidR="0077376B" w:rsidRPr="002458E5" w14:paraId="7D7A010B" w14:textId="77777777" w:rsidTr="00561FBB">
        <w:trPr>
          <w:trHeight w:val="1154"/>
        </w:trPr>
        <w:tc>
          <w:tcPr>
            <w:tcW w:w="823" w:type="dxa"/>
            <w:tcBorders>
              <w:top w:val="nil"/>
              <w:bottom w:val="single" w:sz="4" w:space="0" w:color="AFB5BF"/>
              <w:right w:val="single" w:sz="4" w:space="0" w:color="AFB5BF"/>
            </w:tcBorders>
            <w:vAlign w:val="center"/>
          </w:tcPr>
          <w:p w14:paraId="44BE6F53" w14:textId="77777777" w:rsidR="0077376B" w:rsidRPr="00561FBB" w:rsidRDefault="00741200" w:rsidP="00561FBB">
            <w:pPr>
              <w:pStyle w:val="TableParagraph"/>
              <w:jc w:val="center"/>
              <w:rPr>
                <w:rFonts w:ascii="IBM Plex Sans" w:hAnsi="IBM Plex Sans"/>
                <w:color w:val="B85784"/>
                <w:sz w:val="36"/>
              </w:rPr>
            </w:pPr>
            <w:r w:rsidRPr="00561FBB">
              <w:rPr>
                <w:rFonts w:ascii="IBM Plex Sans" w:hAnsi="IBM Plex Sans"/>
                <w:color w:val="B85784"/>
                <w:sz w:val="36"/>
              </w:rPr>
              <w:t>1</w:t>
            </w:r>
          </w:p>
        </w:tc>
        <w:tc>
          <w:tcPr>
            <w:tcW w:w="1899" w:type="dxa"/>
            <w:tcBorders>
              <w:top w:val="nil"/>
              <w:left w:val="single" w:sz="4" w:space="0" w:color="AFB5BF"/>
              <w:bottom w:val="single" w:sz="4" w:space="0" w:color="AFB5BF"/>
              <w:right w:val="single" w:sz="4" w:space="0" w:color="AFB5BF"/>
            </w:tcBorders>
            <w:vAlign w:val="center"/>
          </w:tcPr>
          <w:p w14:paraId="6D328293" w14:textId="77777777" w:rsidR="0077376B" w:rsidRPr="00561FBB" w:rsidRDefault="00741200" w:rsidP="00561FBB">
            <w:pPr>
              <w:pStyle w:val="TableParagraph"/>
              <w:jc w:val="center"/>
              <w:rPr>
                <w:rFonts w:ascii="IBM Plex Sans Medm" w:hAnsi="IBM Plex Sans Medm"/>
                <w:color w:val="8C3B61"/>
                <w:sz w:val="19"/>
              </w:rPr>
            </w:pPr>
            <w:r w:rsidRPr="00561FBB">
              <w:rPr>
                <w:rFonts w:ascii="IBM Plex Sans Medm" w:hAnsi="IBM Plex Sans Medm"/>
                <w:color w:val="8C3B61"/>
                <w:sz w:val="19"/>
              </w:rPr>
              <w:t>Screening</w:t>
            </w:r>
          </w:p>
        </w:tc>
        <w:tc>
          <w:tcPr>
            <w:tcW w:w="3221" w:type="dxa"/>
            <w:tcBorders>
              <w:top w:val="nil"/>
              <w:left w:val="single" w:sz="4" w:space="0" w:color="AFB5BF"/>
              <w:bottom w:val="single" w:sz="4" w:space="0" w:color="AFB5BF"/>
              <w:right w:val="single" w:sz="4" w:space="0" w:color="AFB5BF"/>
            </w:tcBorders>
            <w:vAlign w:val="center"/>
          </w:tcPr>
          <w:p w14:paraId="45C82F8C" w14:textId="74AB6197" w:rsidR="0077376B" w:rsidRPr="002458E5" w:rsidRDefault="00741200" w:rsidP="00561FBB">
            <w:pPr>
              <w:pStyle w:val="TableParagraph"/>
              <w:ind w:left="194" w:right="386"/>
              <w:jc w:val="center"/>
              <w:rPr>
                <w:rFonts w:ascii="IBM Plex Sans" w:hAnsi="IBM Plex Sans"/>
                <w:color w:val="000000" w:themeColor="text1"/>
                <w:sz w:val="19"/>
              </w:rPr>
            </w:pPr>
            <w:r w:rsidRPr="002458E5">
              <w:rPr>
                <w:rFonts w:ascii="IBM Plex Sans" w:hAnsi="IBM Plex Sans"/>
                <w:color w:val="000000" w:themeColor="text1"/>
                <w:sz w:val="19"/>
              </w:rPr>
              <w:t xml:space="preserve">Number </w:t>
            </w:r>
            <w:r w:rsidR="00BD4F8B" w:rsidRPr="002458E5">
              <w:rPr>
                <w:rFonts w:ascii="IBM Plex Sans" w:hAnsi="IBM Plex Sans"/>
                <w:color w:val="000000" w:themeColor="text1"/>
                <w:sz w:val="19"/>
              </w:rPr>
              <w:t>of encounters where a</w:t>
            </w:r>
            <w:r w:rsidRPr="002458E5">
              <w:rPr>
                <w:rFonts w:ascii="IBM Plex Sans" w:hAnsi="IBM Plex Sans"/>
                <w:color w:val="000000" w:themeColor="text1"/>
                <w:sz w:val="19"/>
              </w:rPr>
              <w:t xml:space="preserve"> screening </w:t>
            </w:r>
            <w:r w:rsidR="00BD4F8B" w:rsidRPr="002458E5">
              <w:rPr>
                <w:rFonts w:ascii="IBM Plex Sans" w:hAnsi="IBM Plex Sans"/>
                <w:color w:val="000000" w:themeColor="text1"/>
                <w:sz w:val="19"/>
              </w:rPr>
              <w:t>occurred</w:t>
            </w:r>
            <w:r w:rsidR="00BF5C72" w:rsidRPr="002458E5">
              <w:rPr>
                <w:rFonts w:ascii="IBM Plex Sans" w:hAnsi="IBM Plex Sans"/>
                <w:color w:val="000000" w:themeColor="text1"/>
                <w:sz w:val="19"/>
              </w:rPr>
              <w:t xml:space="preserve"> during the reporting period</w:t>
            </w:r>
          </w:p>
        </w:tc>
        <w:tc>
          <w:tcPr>
            <w:tcW w:w="1729" w:type="dxa"/>
            <w:tcBorders>
              <w:top w:val="nil"/>
              <w:left w:val="single" w:sz="4" w:space="0" w:color="AFB5BF"/>
              <w:bottom w:val="single" w:sz="4" w:space="0" w:color="AFB5BF"/>
              <w:right w:val="single" w:sz="4" w:space="0" w:color="AFB5BF"/>
            </w:tcBorders>
            <w:vAlign w:val="center"/>
          </w:tcPr>
          <w:p w14:paraId="2BD4E84D" w14:textId="77777777" w:rsidR="0077376B" w:rsidRPr="002458E5" w:rsidRDefault="0077376B" w:rsidP="00561FBB">
            <w:pPr>
              <w:pStyle w:val="TableParagraph"/>
              <w:jc w:val="center"/>
              <w:rPr>
                <w:rFonts w:ascii="IBM Plex Sans" w:hAnsi="IBM Plex Sans"/>
                <w:color w:val="000000" w:themeColor="text1"/>
                <w:sz w:val="18"/>
              </w:rPr>
            </w:pPr>
          </w:p>
        </w:tc>
        <w:tc>
          <w:tcPr>
            <w:tcW w:w="3615" w:type="dxa"/>
            <w:tcBorders>
              <w:top w:val="nil"/>
              <w:left w:val="single" w:sz="4" w:space="0" w:color="AFB5BF"/>
              <w:bottom w:val="single" w:sz="4" w:space="0" w:color="AFB5BF"/>
              <w:right w:val="single" w:sz="4" w:space="0" w:color="AFB5BF"/>
            </w:tcBorders>
            <w:vAlign w:val="center"/>
          </w:tcPr>
          <w:p w14:paraId="3ECDEE8B" w14:textId="1EE6C12F" w:rsidR="0077376B" w:rsidRPr="002458E5" w:rsidRDefault="00741200" w:rsidP="00561FBB">
            <w:pPr>
              <w:pStyle w:val="TableParagraph"/>
              <w:ind w:left="185" w:right="286" w:firstLine="7"/>
              <w:jc w:val="center"/>
              <w:rPr>
                <w:rFonts w:ascii="IBM Plex Sans" w:hAnsi="IBM Plex Sans"/>
                <w:color w:val="000000" w:themeColor="text1"/>
                <w:sz w:val="19"/>
              </w:rPr>
            </w:pPr>
            <w:r w:rsidRPr="002458E5">
              <w:rPr>
                <w:rFonts w:ascii="IBM Plex Sans" w:hAnsi="IBM Plex Sans"/>
                <w:color w:val="000000" w:themeColor="text1"/>
                <w:sz w:val="19"/>
              </w:rPr>
              <w:t xml:space="preserve">Number </w:t>
            </w:r>
            <w:r w:rsidR="00BD4F8B" w:rsidRPr="002458E5">
              <w:rPr>
                <w:rFonts w:ascii="IBM Plex Sans" w:hAnsi="IBM Plex Sans"/>
                <w:color w:val="000000" w:themeColor="text1"/>
                <w:sz w:val="19"/>
              </w:rPr>
              <w:t>of encounters in which a suicide screen should have occurred</w:t>
            </w:r>
            <w:r w:rsidR="00BF5C72" w:rsidRPr="002458E5">
              <w:rPr>
                <w:rFonts w:ascii="IBM Plex Sans" w:hAnsi="IBM Plex Sans"/>
                <w:color w:val="000000" w:themeColor="text1"/>
                <w:sz w:val="19"/>
              </w:rPr>
              <w:t xml:space="preserve"> during the reporting period</w:t>
            </w:r>
          </w:p>
        </w:tc>
        <w:tc>
          <w:tcPr>
            <w:tcW w:w="1729" w:type="dxa"/>
            <w:tcBorders>
              <w:top w:val="nil"/>
              <w:left w:val="single" w:sz="4" w:space="0" w:color="AFB5BF"/>
              <w:bottom w:val="single" w:sz="4" w:space="0" w:color="AFB5BF"/>
              <w:right w:val="single" w:sz="4" w:space="0" w:color="AFB5BF"/>
            </w:tcBorders>
            <w:vAlign w:val="center"/>
          </w:tcPr>
          <w:p w14:paraId="7D451BB7" w14:textId="77777777" w:rsidR="0077376B" w:rsidRPr="002458E5" w:rsidRDefault="0077376B" w:rsidP="00561FBB">
            <w:pPr>
              <w:pStyle w:val="TableParagraph"/>
              <w:jc w:val="center"/>
              <w:rPr>
                <w:rFonts w:ascii="IBM Plex Sans" w:hAnsi="IBM Plex Sans"/>
                <w:color w:val="000000" w:themeColor="text1"/>
                <w:sz w:val="18"/>
              </w:rPr>
            </w:pPr>
          </w:p>
        </w:tc>
        <w:tc>
          <w:tcPr>
            <w:tcW w:w="1349" w:type="dxa"/>
            <w:tcBorders>
              <w:top w:val="nil"/>
              <w:left w:val="single" w:sz="4" w:space="0" w:color="AFB5BF"/>
              <w:bottom w:val="single" w:sz="4" w:space="0" w:color="AFB5BF"/>
            </w:tcBorders>
            <w:vAlign w:val="center"/>
          </w:tcPr>
          <w:p w14:paraId="5F4537C9" w14:textId="77777777" w:rsidR="0077376B" w:rsidRPr="002458E5" w:rsidRDefault="0077376B" w:rsidP="00561FBB">
            <w:pPr>
              <w:pStyle w:val="TableParagraph"/>
              <w:jc w:val="center"/>
              <w:rPr>
                <w:rFonts w:ascii="IBM Plex Sans" w:hAnsi="IBM Plex Sans"/>
                <w:color w:val="000000" w:themeColor="text1"/>
                <w:sz w:val="18"/>
              </w:rPr>
            </w:pPr>
          </w:p>
        </w:tc>
      </w:tr>
      <w:tr w:rsidR="0077376B" w:rsidRPr="002458E5" w14:paraId="0D1DF858" w14:textId="77777777" w:rsidTr="00561FBB">
        <w:trPr>
          <w:trHeight w:val="1749"/>
        </w:trPr>
        <w:tc>
          <w:tcPr>
            <w:tcW w:w="823" w:type="dxa"/>
            <w:tcBorders>
              <w:top w:val="single" w:sz="4" w:space="0" w:color="AFB5BF"/>
              <w:bottom w:val="single" w:sz="4" w:space="0" w:color="AFB5BF"/>
              <w:right w:val="single" w:sz="4" w:space="0" w:color="AFB5BF"/>
            </w:tcBorders>
            <w:vAlign w:val="center"/>
          </w:tcPr>
          <w:p w14:paraId="712B3D83" w14:textId="77777777" w:rsidR="0077376B" w:rsidRPr="00561FBB" w:rsidRDefault="00741200" w:rsidP="00561FBB">
            <w:pPr>
              <w:pStyle w:val="TableParagraph"/>
              <w:jc w:val="center"/>
              <w:rPr>
                <w:rFonts w:ascii="IBM Plex Sans" w:hAnsi="IBM Plex Sans"/>
                <w:color w:val="B85784"/>
                <w:sz w:val="36"/>
              </w:rPr>
            </w:pPr>
            <w:r w:rsidRPr="00561FBB">
              <w:rPr>
                <w:rFonts w:ascii="IBM Plex Sans" w:hAnsi="IBM Plex Sans"/>
                <w:color w:val="B85784"/>
                <w:sz w:val="36"/>
              </w:rPr>
              <w:t>2</w:t>
            </w:r>
          </w:p>
        </w:tc>
        <w:tc>
          <w:tcPr>
            <w:tcW w:w="1899" w:type="dxa"/>
            <w:tcBorders>
              <w:top w:val="single" w:sz="4" w:space="0" w:color="AFB5BF"/>
              <w:left w:val="single" w:sz="4" w:space="0" w:color="AFB5BF"/>
              <w:bottom w:val="single" w:sz="4" w:space="0" w:color="AFB5BF"/>
              <w:right w:val="single" w:sz="4" w:space="0" w:color="AFB5BF"/>
            </w:tcBorders>
            <w:vAlign w:val="center"/>
          </w:tcPr>
          <w:p w14:paraId="0C3D3670" w14:textId="77777777" w:rsidR="0077376B" w:rsidRPr="00561FBB" w:rsidRDefault="00741200" w:rsidP="00561FBB">
            <w:pPr>
              <w:pStyle w:val="TableParagraph"/>
              <w:jc w:val="center"/>
              <w:rPr>
                <w:rFonts w:ascii="IBM Plex Sans Medm" w:hAnsi="IBM Plex Sans Medm"/>
                <w:color w:val="8C3B61"/>
                <w:sz w:val="19"/>
              </w:rPr>
            </w:pPr>
            <w:r w:rsidRPr="00561FBB">
              <w:rPr>
                <w:rFonts w:ascii="IBM Plex Sans Medm" w:hAnsi="IBM Plex Sans Medm"/>
                <w:color w:val="8C3B61"/>
                <w:sz w:val="19"/>
              </w:rPr>
              <w:t>Assessment</w:t>
            </w:r>
          </w:p>
        </w:tc>
        <w:tc>
          <w:tcPr>
            <w:tcW w:w="3221" w:type="dxa"/>
            <w:tcBorders>
              <w:top w:val="single" w:sz="4" w:space="0" w:color="AFB5BF"/>
              <w:left w:val="single" w:sz="4" w:space="0" w:color="AFB5BF"/>
              <w:bottom w:val="single" w:sz="4" w:space="0" w:color="AFB5BF"/>
              <w:right w:val="single" w:sz="4" w:space="0" w:color="AFB5BF"/>
            </w:tcBorders>
            <w:vAlign w:val="center"/>
          </w:tcPr>
          <w:p w14:paraId="235E1B37" w14:textId="24C85FBF" w:rsidR="0077376B" w:rsidRPr="002458E5" w:rsidRDefault="00D76B36" w:rsidP="00561FBB">
            <w:pPr>
              <w:pStyle w:val="TableParagraph"/>
              <w:ind w:left="194" w:right="217"/>
              <w:jc w:val="center"/>
              <w:rPr>
                <w:rFonts w:ascii="IBM Plex Sans" w:hAnsi="IBM Plex Sans"/>
                <w:color w:val="000000" w:themeColor="text1"/>
                <w:sz w:val="19"/>
              </w:rPr>
            </w:pPr>
            <w:r w:rsidRPr="002458E5">
              <w:rPr>
                <w:rFonts w:ascii="IBM Plex Sans" w:hAnsi="IBM Plex Sans"/>
                <w:color w:val="000000" w:themeColor="text1"/>
                <w:sz w:val="19"/>
              </w:rPr>
              <w:t>Number of assessments that occurred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6C46CD1E" w14:textId="77777777" w:rsidR="0077376B" w:rsidRPr="002458E5" w:rsidRDefault="0077376B" w:rsidP="00561FBB">
            <w:pPr>
              <w:pStyle w:val="TableParagraph"/>
              <w:jc w:val="center"/>
              <w:rPr>
                <w:rFonts w:ascii="IBM Plex Sans" w:hAnsi="IBM Plex Sans"/>
                <w:color w:val="000000" w:themeColor="text1"/>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7337E451" w14:textId="76AF0F66" w:rsidR="0077376B" w:rsidRPr="002458E5" w:rsidRDefault="00D76B36" w:rsidP="00561FBB">
            <w:pPr>
              <w:pStyle w:val="TableParagraph"/>
              <w:ind w:left="185" w:right="286" w:firstLine="7"/>
              <w:jc w:val="center"/>
              <w:rPr>
                <w:rFonts w:ascii="IBM Plex Sans" w:hAnsi="IBM Plex Sans"/>
                <w:color w:val="000000" w:themeColor="text1"/>
                <w:sz w:val="19"/>
              </w:rPr>
            </w:pPr>
            <w:r w:rsidRPr="002458E5">
              <w:rPr>
                <w:rFonts w:ascii="IBM Plex Sans" w:hAnsi="IBM Plex Sans"/>
                <w:color w:val="000000" w:themeColor="text1"/>
                <w:sz w:val="19"/>
              </w:rPr>
              <w:t>Number of patients screening positive for suicide risk or being referred for suicide ideation or behavior via another mechanism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423EF156" w14:textId="77777777" w:rsidR="0077376B" w:rsidRPr="002458E5" w:rsidRDefault="0077376B" w:rsidP="00561FBB">
            <w:pPr>
              <w:pStyle w:val="TableParagraph"/>
              <w:jc w:val="center"/>
              <w:rPr>
                <w:rFonts w:ascii="IBM Plex Sans" w:hAnsi="IBM Plex Sans"/>
                <w:color w:val="000000" w:themeColor="text1"/>
                <w:sz w:val="18"/>
              </w:rPr>
            </w:pPr>
          </w:p>
        </w:tc>
        <w:tc>
          <w:tcPr>
            <w:tcW w:w="1349" w:type="dxa"/>
            <w:tcBorders>
              <w:top w:val="single" w:sz="4" w:space="0" w:color="AFB5BF"/>
              <w:left w:val="single" w:sz="4" w:space="0" w:color="AFB5BF"/>
              <w:bottom w:val="single" w:sz="4" w:space="0" w:color="AFB5BF"/>
            </w:tcBorders>
            <w:vAlign w:val="center"/>
          </w:tcPr>
          <w:p w14:paraId="03BD381A" w14:textId="77777777" w:rsidR="0077376B" w:rsidRPr="002458E5" w:rsidRDefault="0077376B" w:rsidP="00561FBB">
            <w:pPr>
              <w:pStyle w:val="TableParagraph"/>
              <w:jc w:val="center"/>
              <w:rPr>
                <w:rFonts w:ascii="IBM Plex Sans" w:hAnsi="IBM Plex Sans"/>
                <w:color w:val="000000" w:themeColor="text1"/>
                <w:sz w:val="18"/>
              </w:rPr>
            </w:pPr>
          </w:p>
        </w:tc>
      </w:tr>
      <w:tr w:rsidR="0077376B" w:rsidRPr="002458E5" w14:paraId="10F56FA7" w14:textId="77777777" w:rsidTr="00561FBB">
        <w:trPr>
          <w:trHeight w:val="1449"/>
        </w:trPr>
        <w:tc>
          <w:tcPr>
            <w:tcW w:w="823" w:type="dxa"/>
            <w:tcBorders>
              <w:top w:val="single" w:sz="4" w:space="0" w:color="AFB5BF"/>
              <w:bottom w:val="single" w:sz="4" w:space="0" w:color="AFB5BF"/>
              <w:right w:val="single" w:sz="4" w:space="0" w:color="AFB5BF"/>
            </w:tcBorders>
            <w:vAlign w:val="center"/>
          </w:tcPr>
          <w:p w14:paraId="3E83E559" w14:textId="77777777" w:rsidR="0077376B" w:rsidRPr="00561FBB" w:rsidRDefault="00741200" w:rsidP="00561FBB">
            <w:pPr>
              <w:pStyle w:val="TableParagraph"/>
              <w:jc w:val="center"/>
              <w:rPr>
                <w:rFonts w:ascii="IBM Plex Sans" w:hAnsi="IBM Plex Sans"/>
                <w:color w:val="B85784"/>
                <w:sz w:val="36"/>
              </w:rPr>
            </w:pPr>
            <w:r w:rsidRPr="00561FBB">
              <w:rPr>
                <w:rFonts w:ascii="IBM Plex Sans" w:hAnsi="IBM Plex Sans"/>
                <w:color w:val="B85784"/>
                <w:sz w:val="36"/>
              </w:rPr>
              <w:t>3</w:t>
            </w:r>
          </w:p>
        </w:tc>
        <w:tc>
          <w:tcPr>
            <w:tcW w:w="1899" w:type="dxa"/>
            <w:tcBorders>
              <w:top w:val="single" w:sz="4" w:space="0" w:color="AFB5BF"/>
              <w:left w:val="single" w:sz="4" w:space="0" w:color="AFB5BF"/>
              <w:bottom w:val="single" w:sz="4" w:space="0" w:color="AFB5BF"/>
              <w:right w:val="single" w:sz="4" w:space="0" w:color="AFB5BF"/>
            </w:tcBorders>
            <w:vAlign w:val="center"/>
          </w:tcPr>
          <w:p w14:paraId="0D6F3729" w14:textId="62F24CCB" w:rsidR="00561FBB" w:rsidRPr="00561FBB" w:rsidRDefault="00741200" w:rsidP="00561FBB">
            <w:pPr>
              <w:pStyle w:val="TableParagraph"/>
              <w:ind w:right="-3"/>
              <w:jc w:val="center"/>
              <w:rPr>
                <w:rFonts w:ascii="IBM Plex Sans Medm" w:hAnsi="IBM Plex Sans Medm"/>
                <w:color w:val="8C3B61"/>
                <w:sz w:val="19"/>
              </w:rPr>
            </w:pPr>
            <w:r w:rsidRPr="00561FBB">
              <w:rPr>
                <w:rFonts w:ascii="IBM Plex Sans Medm" w:hAnsi="IBM Plex Sans Medm"/>
                <w:color w:val="8C3B61"/>
                <w:sz w:val="19"/>
              </w:rPr>
              <w:t>Safet</w:t>
            </w:r>
            <w:r w:rsidR="00561FBB" w:rsidRPr="00561FBB">
              <w:rPr>
                <w:rFonts w:ascii="IBM Plex Sans Medm" w:hAnsi="IBM Plex Sans Medm"/>
                <w:color w:val="8C3B61"/>
                <w:sz w:val="19"/>
              </w:rPr>
              <w:t>y</w:t>
            </w:r>
            <w:r w:rsidRPr="00561FBB">
              <w:rPr>
                <w:rFonts w:ascii="IBM Plex Sans Medm" w:hAnsi="IBM Plex Sans Medm"/>
                <w:color w:val="8C3B61"/>
                <w:sz w:val="19"/>
              </w:rPr>
              <w:t xml:space="preserve"> Plan</w:t>
            </w:r>
          </w:p>
          <w:p w14:paraId="2AF52F3A" w14:textId="41C06854" w:rsidR="0077376B" w:rsidRPr="00561FBB" w:rsidRDefault="00741200" w:rsidP="00561FBB">
            <w:pPr>
              <w:pStyle w:val="TableParagraph"/>
              <w:ind w:right="-3"/>
              <w:jc w:val="center"/>
              <w:rPr>
                <w:rFonts w:ascii="IBM Plex Sans Medm" w:hAnsi="IBM Plex Sans Medm"/>
                <w:color w:val="8C3B61"/>
                <w:sz w:val="19"/>
              </w:rPr>
            </w:pPr>
            <w:r w:rsidRPr="00561FBB">
              <w:rPr>
                <w:rFonts w:ascii="IBM Plex Sans Medm" w:hAnsi="IBM Plex Sans Medm"/>
                <w:color w:val="8C3B61"/>
                <w:sz w:val="19"/>
              </w:rPr>
              <w:t>Development</w:t>
            </w:r>
          </w:p>
        </w:tc>
        <w:tc>
          <w:tcPr>
            <w:tcW w:w="3221" w:type="dxa"/>
            <w:tcBorders>
              <w:top w:val="single" w:sz="4" w:space="0" w:color="AFB5BF"/>
              <w:left w:val="single" w:sz="4" w:space="0" w:color="AFB5BF"/>
              <w:bottom w:val="single" w:sz="4" w:space="0" w:color="AFB5BF"/>
              <w:right w:val="single" w:sz="4" w:space="0" w:color="AFB5BF"/>
            </w:tcBorders>
            <w:vAlign w:val="center"/>
          </w:tcPr>
          <w:p w14:paraId="1B219E96" w14:textId="2DD0171B" w:rsidR="0077376B" w:rsidRPr="002458E5" w:rsidRDefault="00741200" w:rsidP="00561FBB">
            <w:pPr>
              <w:pStyle w:val="TableParagraph"/>
              <w:ind w:left="194" w:right="386"/>
              <w:jc w:val="center"/>
              <w:rPr>
                <w:rFonts w:ascii="IBM Plex Sans" w:hAnsi="IBM Plex Sans"/>
                <w:color w:val="000000" w:themeColor="text1"/>
                <w:sz w:val="19"/>
              </w:rPr>
            </w:pPr>
            <w:r w:rsidRPr="002458E5">
              <w:rPr>
                <w:rFonts w:ascii="IBM Plex Sans" w:hAnsi="IBM Plex Sans"/>
                <w:color w:val="000000" w:themeColor="text1"/>
                <w:sz w:val="19"/>
              </w:rPr>
              <w:t xml:space="preserve">Number of </w:t>
            </w:r>
            <w:r w:rsidR="008F5AAA" w:rsidRPr="002458E5">
              <w:rPr>
                <w:rFonts w:ascii="IBM Plex Sans" w:hAnsi="IBM Plex Sans"/>
                <w:color w:val="000000" w:themeColor="text1"/>
                <w:sz w:val="19"/>
              </w:rPr>
              <w:t>patients</w:t>
            </w:r>
            <w:r w:rsidRPr="002458E5">
              <w:rPr>
                <w:rFonts w:ascii="IBM Plex Sans" w:hAnsi="IBM Plex Sans"/>
                <w:color w:val="000000" w:themeColor="text1"/>
                <w:sz w:val="19"/>
              </w:rPr>
              <w:t xml:space="preserve"> with a safety plan developed (</w:t>
            </w:r>
            <w:r w:rsidR="008F5AAA" w:rsidRPr="002458E5">
              <w:rPr>
                <w:rFonts w:ascii="IBM Plex Sans" w:hAnsi="IBM Plex Sans"/>
                <w:color w:val="000000" w:themeColor="text1"/>
                <w:sz w:val="19"/>
              </w:rPr>
              <w:t xml:space="preserve">within the </w:t>
            </w:r>
            <w:proofErr w:type="gramStart"/>
            <w:r w:rsidR="008F5AAA" w:rsidRPr="002458E5">
              <w:rPr>
                <w:rFonts w:ascii="IBM Plex Sans" w:hAnsi="IBM Plex Sans"/>
                <w:color w:val="000000" w:themeColor="text1"/>
                <w:sz w:val="19"/>
              </w:rPr>
              <w:t>time period</w:t>
            </w:r>
            <w:proofErr w:type="gramEnd"/>
            <w:r w:rsidR="008F5AAA" w:rsidRPr="002458E5">
              <w:rPr>
                <w:rFonts w:ascii="IBM Plex Sans" w:hAnsi="IBM Plex Sans"/>
                <w:color w:val="000000" w:themeColor="text1"/>
                <w:sz w:val="19"/>
              </w:rPr>
              <w:t xml:space="preserve"> per policy/protocol</w:t>
            </w:r>
            <w:r w:rsidRPr="002458E5">
              <w:rPr>
                <w:rFonts w:ascii="IBM Plex Sans" w:hAnsi="IBM Plex Sans"/>
                <w:color w:val="000000" w:themeColor="text1"/>
                <w:sz w:val="19"/>
              </w:rPr>
              <w:t>)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73CDA426" w14:textId="77777777" w:rsidR="0077376B" w:rsidRPr="002458E5" w:rsidRDefault="0077376B" w:rsidP="00561FBB">
            <w:pPr>
              <w:pStyle w:val="TableParagraph"/>
              <w:jc w:val="center"/>
              <w:rPr>
                <w:rFonts w:ascii="IBM Plex Sans" w:hAnsi="IBM Plex Sans"/>
                <w:color w:val="000000" w:themeColor="text1"/>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331F46D5" w14:textId="360DE094" w:rsidR="0077376B" w:rsidRPr="002458E5" w:rsidRDefault="00741200" w:rsidP="00561FBB">
            <w:pPr>
              <w:pStyle w:val="TableParagraph"/>
              <w:ind w:left="185" w:right="286" w:firstLine="7"/>
              <w:jc w:val="center"/>
              <w:rPr>
                <w:rFonts w:ascii="IBM Plex Sans" w:hAnsi="IBM Plex Sans"/>
                <w:color w:val="000000" w:themeColor="text1"/>
                <w:sz w:val="19"/>
              </w:rPr>
            </w:pPr>
            <w:r w:rsidRPr="002458E5">
              <w:rPr>
                <w:rFonts w:ascii="IBM Plex Sans" w:hAnsi="IBM Plex Sans"/>
                <w:color w:val="000000" w:themeColor="text1"/>
                <w:sz w:val="19"/>
              </w:rPr>
              <w:t xml:space="preserve">Number of </w:t>
            </w:r>
            <w:r w:rsidR="008F5AAA" w:rsidRPr="002458E5">
              <w:rPr>
                <w:rFonts w:ascii="IBM Plex Sans" w:hAnsi="IBM Plex Sans"/>
                <w:color w:val="000000" w:themeColor="text1"/>
                <w:sz w:val="19"/>
              </w:rPr>
              <w:t>patients</w:t>
            </w:r>
            <w:r w:rsidRPr="002458E5">
              <w:rPr>
                <w:rFonts w:ascii="IBM Plex Sans" w:hAnsi="IBM Plex Sans"/>
                <w:color w:val="000000" w:themeColor="text1"/>
                <w:sz w:val="19"/>
              </w:rPr>
              <w:t xml:space="preserve"> </w:t>
            </w:r>
            <w:r w:rsidR="00BF5C72" w:rsidRPr="002458E5">
              <w:rPr>
                <w:rFonts w:ascii="IBM Plex Sans" w:hAnsi="IBM Plex Sans"/>
                <w:color w:val="000000" w:themeColor="text1"/>
                <w:sz w:val="19"/>
              </w:rPr>
              <w:t>determined to be at elevated risk of suicide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51ED2B20" w14:textId="77777777" w:rsidR="0077376B" w:rsidRPr="002458E5" w:rsidRDefault="0077376B" w:rsidP="00561FBB">
            <w:pPr>
              <w:pStyle w:val="TableParagraph"/>
              <w:jc w:val="center"/>
              <w:rPr>
                <w:rFonts w:ascii="IBM Plex Sans" w:hAnsi="IBM Plex Sans"/>
                <w:color w:val="000000" w:themeColor="text1"/>
                <w:sz w:val="18"/>
              </w:rPr>
            </w:pPr>
          </w:p>
        </w:tc>
        <w:tc>
          <w:tcPr>
            <w:tcW w:w="1349" w:type="dxa"/>
            <w:tcBorders>
              <w:top w:val="single" w:sz="4" w:space="0" w:color="AFB5BF"/>
              <w:left w:val="single" w:sz="4" w:space="0" w:color="AFB5BF"/>
              <w:bottom w:val="single" w:sz="4" w:space="0" w:color="AFB5BF"/>
            </w:tcBorders>
            <w:vAlign w:val="center"/>
          </w:tcPr>
          <w:p w14:paraId="129C4AFC" w14:textId="77777777" w:rsidR="0077376B" w:rsidRPr="002458E5" w:rsidRDefault="0077376B" w:rsidP="00561FBB">
            <w:pPr>
              <w:pStyle w:val="TableParagraph"/>
              <w:jc w:val="center"/>
              <w:rPr>
                <w:rFonts w:ascii="IBM Plex Sans" w:hAnsi="IBM Plex Sans"/>
                <w:color w:val="000000" w:themeColor="text1"/>
                <w:sz w:val="18"/>
              </w:rPr>
            </w:pPr>
          </w:p>
        </w:tc>
      </w:tr>
      <w:tr w:rsidR="0077376B" w:rsidRPr="002458E5" w14:paraId="4C03C13C" w14:textId="77777777" w:rsidTr="00561FBB">
        <w:trPr>
          <w:trHeight w:val="2049"/>
        </w:trPr>
        <w:tc>
          <w:tcPr>
            <w:tcW w:w="823" w:type="dxa"/>
            <w:tcBorders>
              <w:top w:val="single" w:sz="4" w:space="0" w:color="AFB5BF"/>
              <w:bottom w:val="single" w:sz="4" w:space="0" w:color="AFB5BF"/>
              <w:right w:val="single" w:sz="4" w:space="0" w:color="AFB5BF"/>
            </w:tcBorders>
            <w:vAlign w:val="center"/>
          </w:tcPr>
          <w:p w14:paraId="69BBCB90" w14:textId="77777777" w:rsidR="0077376B" w:rsidRPr="00561FBB" w:rsidRDefault="00741200" w:rsidP="00561FBB">
            <w:pPr>
              <w:pStyle w:val="TableParagraph"/>
              <w:jc w:val="center"/>
              <w:rPr>
                <w:rFonts w:ascii="IBM Plex Sans" w:hAnsi="IBM Plex Sans"/>
                <w:color w:val="B85784"/>
                <w:sz w:val="36"/>
              </w:rPr>
            </w:pPr>
            <w:r w:rsidRPr="00561FBB">
              <w:rPr>
                <w:rFonts w:ascii="IBM Plex Sans" w:hAnsi="IBM Plex Sans"/>
                <w:color w:val="B85784"/>
                <w:sz w:val="36"/>
              </w:rPr>
              <w:t>4</w:t>
            </w:r>
          </w:p>
        </w:tc>
        <w:tc>
          <w:tcPr>
            <w:tcW w:w="1899" w:type="dxa"/>
            <w:tcBorders>
              <w:top w:val="single" w:sz="4" w:space="0" w:color="AFB5BF"/>
              <w:left w:val="single" w:sz="4" w:space="0" w:color="AFB5BF"/>
              <w:bottom w:val="single" w:sz="4" w:space="0" w:color="AFB5BF"/>
              <w:right w:val="single" w:sz="4" w:space="0" w:color="AFB5BF"/>
            </w:tcBorders>
            <w:vAlign w:val="center"/>
          </w:tcPr>
          <w:p w14:paraId="7A0753AC" w14:textId="1D312ADC" w:rsidR="0077376B" w:rsidRPr="00561FBB" w:rsidRDefault="00741200" w:rsidP="00561FBB">
            <w:pPr>
              <w:pStyle w:val="TableParagraph"/>
              <w:jc w:val="center"/>
              <w:rPr>
                <w:rFonts w:ascii="IBM Plex Sans Medm" w:hAnsi="IBM Plex Sans Medm"/>
                <w:color w:val="8C3B61"/>
                <w:sz w:val="19"/>
              </w:rPr>
            </w:pPr>
            <w:r w:rsidRPr="00561FBB">
              <w:rPr>
                <w:rFonts w:ascii="IBM Plex Sans Medm" w:hAnsi="IBM Plex Sans Medm"/>
                <w:color w:val="8C3B61"/>
                <w:sz w:val="19"/>
              </w:rPr>
              <w:t>Lethal Means</w:t>
            </w:r>
            <w:r w:rsidR="00561FBB" w:rsidRPr="00561FBB">
              <w:rPr>
                <w:rFonts w:ascii="IBM Plex Sans Medm" w:hAnsi="IBM Plex Sans Medm"/>
                <w:color w:val="8C3B61"/>
                <w:sz w:val="19"/>
              </w:rPr>
              <w:t xml:space="preserve"> </w:t>
            </w:r>
            <w:r w:rsidRPr="00561FBB">
              <w:rPr>
                <w:rFonts w:ascii="IBM Plex Sans Medm" w:hAnsi="IBM Plex Sans Medm"/>
                <w:color w:val="8C3B61"/>
                <w:sz w:val="19"/>
              </w:rPr>
              <w:t>Counseling</w:t>
            </w:r>
          </w:p>
        </w:tc>
        <w:tc>
          <w:tcPr>
            <w:tcW w:w="3221" w:type="dxa"/>
            <w:tcBorders>
              <w:top w:val="single" w:sz="4" w:space="0" w:color="AFB5BF"/>
              <w:left w:val="single" w:sz="4" w:space="0" w:color="AFB5BF"/>
              <w:bottom w:val="single" w:sz="4" w:space="0" w:color="AFB5BF"/>
              <w:right w:val="single" w:sz="4" w:space="0" w:color="AFB5BF"/>
            </w:tcBorders>
            <w:vAlign w:val="center"/>
          </w:tcPr>
          <w:p w14:paraId="0621E825" w14:textId="57F60CEB" w:rsidR="0077376B" w:rsidRPr="002458E5" w:rsidRDefault="00741200" w:rsidP="00561FBB">
            <w:pPr>
              <w:pStyle w:val="TableParagraph"/>
              <w:ind w:left="194" w:right="217"/>
              <w:jc w:val="center"/>
              <w:rPr>
                <w:rFonts w:ascii="IBM Plex Sans" w:hAnsi="IBM Plex Sans"/>
                <w:color w:val="000000" w:themeColor="text1"/>
                <w:sz w:val="19"/>
              </w:rPr>
            </w:pPr>
            <w:r w:rsidRPr="002458E5">
              <w:rPr>
                <w:rFonts w:ascii="IBM Plex Sans" w:hAnsi="IBM Plex Sans"/>
                <w:color w:val="000000" w:themeColor="text1"/>
                <w:sz w:val="19"/>
              </w:rPr>
              <w:t xml:space="preserve">Number of </w:t>
            </w:r>
            <w:r w:rsidR="008F5AAA" w:rsidRPr="002458E5">
              <w:rPr>
                <w:rFonts w:ascii="IBM Plex Sans" w:hAnsi="IBM Plex Sans"/>
                <w:color w:val="000000" w:themeColor="text1"/>
                <w:sz w:val="19"/>
              </w:rPr>
              <w:t>patients</w:t>
            </w:r>
            <w:r w:rsidRPr="002458E5">
              <w:rPr>
                <w:rFonts w:ascii="IBM Plex Sans" w:hAnsi="IBM Plex Sans"/>
                <w:color w:val="000000" w:themeColor="text1"/>
                <w:sz w:val="19"/>
              </w:rPr>
              <w:t xml:space="preserve"> </w:t>
            </w:r>
            <w:r w:rsidR="00D76B36" w:rsidRPr="002458E5">
              <w:rPr>
                <w:rFonts w:ascii="IBM Plex Sans" w:hAnsi="IBM Plex Sans"/>
                <w:color w:val="000000" w:themeColor="text1"/>
                <w:sz w:val="19"/>
              </w:rPr>
              <w:t xml:space="preserve">determined to be at elevated risk of suicide who received </w:t>
            </w:r>
            <w:r w:rsidRPr="002458E5">
              <w:rPr>
                <w:rFonts w:ascii="IBM Plex Sans" w:hAnsi="IBM Plex Sans"/>
                <w:color w:val="000000" w:themeColor="text1"/>
                <w:sz w:val="19"/>
              </w:rPr>
              <w:t xml:space="preserve">lethal means </w:t>
            </w:r>
            <w:r w:rsidR="00D76B36" w:rsidRPr="002458E5">
              <w:rPr>
                <w:rFonts w:ascii="IBM Plex Sans" w:hAnsi="IBM Plex Sans"/>
                <w:color w:val="000000" w:themeColor="text1"/>
                <w:sz w:val="19"/>
              </w:rPr>
              <w:t xml:space="preserve">counseling </w:t>
            </w:r>
            <w:r w:rsidRPr="002458E5">
              <w:rPr>
                <w:rFonts w:ascii="IBM Plex Sans" w:hAnsi="IBM Plex Sans"/>
                <w:color w:val="000000" w:themeColor="text1"/>
                <w:sz w:val="19"/>
              </w:rPr>
              <w:t>(</w:t>
            </w:r>
            <w:r w:rsidR="008F5AAA" w:rsidRPr="002458E5">
              <w:rPr>
                <w:rFonts w:ascii="IBM Plex Sans" w:hAnsi="IBM Plex Sans"/>
                <w:color w:val="000000" w:themeColor="text1"/>
                <w:sz w:val="19"/>
              </w:rPr>
              <w:t>within the period per policy/protocol</w:t>
            </w:r>
            <w:r w:rsidRPr="002458E5">
              <w:rPr>
                <w:rFonts w:ascii="IBM Plex Sans" w:hAnsi="IBM Plex Sans"/>
                <w:color w:val="000000" w:themeColor="text1"/>
                <w:sz w:val="19"/>
              </w:rPr>
              <w:t>)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5DD39441" w14:textId="77777777" w:rsidR="0077376B" w:rsidRPr="002458E5" w:rsidRDefault="0077376B" w:rsidP="00561FBB">
            <w:pPr>
              <w:pStyle w:val="TableParagraph"/>
              <w:jc w:val="center"/>
              <w:rPr>
                <w:rFonts w:ascii="IBM Plex Sans" w:hAnsi="IBM Plex Sans"/>
                <w:color w:val="000000" w:themeColor="text1"/>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18EB6007" w14:textId="36A971C1" w:rsidR="0077376B" w:rsidRPr="002458E5" w:rsidRDefault="00741200" w:rsidP="00561FBB">
            <w:pPr>
              <w:pStyle w:val="TableParagraph"/>
              <w:ind w:left="185" w:right="286" w:firstLine="7"/>
              <w:jc w:val="center"/>
              <w:rPr>
                <w:rFonts w:ascii="IBM Plex Sans" w:hAnsi="IBM Plex Sans"/>
                <w:color w:val="000000" w:themeColor="text1"/>
                <w:sz w:val="19"/>
              </w:rPr>
            </w:pPr>
            <w:r w:rsidRPr="002458E5">
              <w:rPr>
                <w:rFonts w:ascii="IBM Plex Sans" w:hAnsi="IBM Plex Sans"/>
                <w:color w:val="000000" w:themeColor="text1"/>
                <w:sz w:val="19"/>
              </w:rPr>
              <w:t xml:space="preserve">Number of </w:t>
            </w:r>
            <w:r w:rsidR="008F5AAA" w:rsidRPr="002458E5">
              <w:rPr>
                <w:rFonts w:ascii="IBM Plex Sans" w:hAnsi="IBM Plex Sans"/>
                <w:color w:val="000000" w:themeColor="text1"/>
                <w:sz w:val="19"/>
              </w:rPr>
              <w:t>patients</w:t>
            </w:r>
            <w:r w:rsidRPr="002458E5">
              <w:rPr>
                <w:rFonts w:ascii="IBM Plex Sans" w:hAnsi="IBM Plex Sans"/>
                <w:color w:val="000000" w:themeColor="text1"/>
                <w:sz w:val="19"/>
              </w:rPr>
              <w:t xml:space="preserve"> </w:t>
            </w:r>
            <w:r w:rsidR="00D76B36" w:rsidRPr="002458E5">
              <w:rPr>
                <w:rFonts w:ascii="IBM Plex Sans" w:hAnsi="IBM Plex Sans"/>
                <w:color w:val="000000" w:themeColor="text1"/>
                <w:sz w:val="19"/>
              </w:rPr>
              <w:t xml:space="preserve">determined to be at elevated risk of suicide </w:t>
            </w:r>
            <w:r w:rsidRPr="002458E5">
              <w:rPr>
                <w:rFonts w:ascii="IBM Plex Sans" w:hAnsi="IBM Plex Sans"/>
                <w:color w:val="000000" w:themeColor="text1"/>
                <w:sz w:val="19"/>
              </w:rPr>
              <w:t>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18CF9AED" w14:textId="77777777" w:rsidR="0077376B" w:rsidRPr="002458E5" w:rsidRDefault="0077376B" w:rsidP="00561FBB">
            <w:pPr>
              <w:pStyle w:val="TableParagraph"/>
              <w:jc w:val="center"/>
              <w:rPr>
                <w:rFonts w:ascii="IBM Plex Sans" w:hAnsi="IBM Plex Sans"/>
                <w:color w:val="000000" w:themeColor="text1"/>
                <w:sz w:val="18"/>
              </w:rPr>
            </w:pPr>
          </w:p>
        </w:tc>
        <w:tc>
          <w:tcPr>
            <w:tcW w:w="1349" w:type="dxa"/>
            <w:tcBorders>
              <w:top w:val="single" w:sz="4" w:space="0" w:color="AFB5BF"/>
              <w:left w:val="single" w:sz="4" w:space="0" w:color="AFB5BF"/>
              <w:bottom w:val="single" w:sz="4" w:space="0" w:color="AFB5BF"/>
            </w:tcBorders>
            <w:vAlign w:val="center"/>
          </w:tcPr>
          <w:p w14:paraId="6F773A48" w14:textId="77777777" w:rsidR="0077376B" w:rsidRPr="002458E5" w:rsidRDefault="0077376B" w:rsidP="00561FBB">
            <w:pPr>
              <w:pStyle w:val="TableParagraph"/>
              <w:jc w:val="center"/>
              <w:rPr>
                <w:rFonts w:ascii="IBM Plex Sans" w:hAnsi="IBM Plex Sans"/>
                <w:color w:val="000000" w:themeColor="text1"/>
                <w:sz w:val="18"/>
              </w:rPr>
            </w:pPr>
          </w:p>
        </w:tc>
      </w:tr>
    </w:tbl>
    <w:p w14:paraId="4718F5FC" w14:textId="77777777" w:rsidR="0077376B" w:rsidRPr="002458E5" w:rsidRDefault="0077376B" w:rsidP="00561FBB">
      <w:pPr>
        <w:rPr>
          <w:rFonts w:ascii="IBM Plex Sans" w:hAnsi="IBM Plex Sans"/>
          <w:sz w:val="18"/>
        </w:rPr>
        <w:sectPr w:rsidR="0077376B" w:rsidRPr="002458E5">
          <w:pgSz w:w="15840" w:h="12240" w:orient="landscape"/>
          <w:pgMar w:top="1080" w:right="0" w:bottom="740" w:left="0" w:header="0" w:footer="556" w:gutter="0"/>
          <w:cols w:space="720"/>
        </w:sectPr>
      </w:pPr>
    </w:p>
    <w:p w14:paraId="23A1A090" w14:textId="77777777" w:rsidR="0077376B" w:rsidRPr="002458E5" w:rsidRDefault="0077376B" w:rsidP="00561FBB">
      <w:pPr>
        <w:pStyle w:val="BodyText"/>
        <w:rPr>
          <w:rFonts w:ascii="IBM Plex Sans" w:hAnsi="IBM Plex Sans"/>
          <w:sz w:val="20"/>
        </w:rPr>
      </w:pPr>
    </w:p>
    <w:p w14:paraId="0A9969E4" w14:textId="77777777" w:rsidR="0077376B" w:rsidRPr="002458E5" w:rsidRDefault="0077376B" w:rsidP="00561FBB">
      <w:pPr>
        <w:pStyle w:val="BodyText"/>
        <w:rPr>
          <w:rFonts w:ascii="IBM Plex Sans" w:hAnsi="IBM Plex Sans"/>
          <w:sz w:val="11"/>
        </w:rPr>
      </w:pPr>
    </w:p>
    <w:tbl>
      <w:tblPr>
        <w:tblW w:w="0" w:type="auto"/>
        <w:tblInd w:w="765" w:type="dxa"/>
        <w:tblBorders>
          <w:top w:val="single" w:sz="18" w:space="0" w:color="E3E4E7"/>
          <w:left w:val="single" w:sz="18" w:space="0" w:color="E3E4E7"/>
          <w:bottom w:val="single" w:sz="18" w:space="0" w:color="E3E4E7"/>
          <w:right w:val="single" w:sz="18" w:space="0" w:color="E3E4E7"/>
          <w:insideH w:val="single" w:sz="18" w:space="0" w:color="E3E4E7"/>
          <w:insideV w:val="single" w:sz="18" w:space="0" w:color="E3E4E7"/>
        </w:tblBorders>
        <w:tblLayout w:type="fixed"/>
        <w:tblCellMar>
          <w:left w:w="0" w:type="dxa"/>
          <w:right w:w="0" w:type="dxa"/>
        </w:tblCellMar>
        <w:tblLook w:val="01E0" w:firstRow="1" w:lastRow="1" w:firstColumn="1" w:lastColumn="1" w:noHBand="0" w:noVBand="0"/>
      </w:tblPr>
      <w:tblGrid>
        <w:gridCol w:w="823"/>
        <w:gridCol w:w="1793"/>
        <w:gridCol w:w="3327"/>
        <w:gridCol w:w="1729"/>
        <w:gridCol w:w="3615"/>
        <w:gridCol w:w="1729"/>
        <w:gridCol w:w="1349"/>
      </w:tblGrid>
      <w:tr w:rsidR="0077376B" w:rsidRPr="002458E5" w14:paraId="33594F4C" w14:textId="77777777" w:rsidTr="009B0664">
        <w:trPr>
          <w:trHeight w:val="442"/>
        </w:trPr>
        <w:tc>
          <w:tcPr>
            <w:tcW w:w="823" w:type="dxa"/>
            <w:tcBorders>
              <w:bottom w:val="nil"/>
              <w:right w:val="single" w:sz="4" w:space="0" w:color="AFB5BF"/>
            </w:tcBorders>
            <w:shd w:val="clear" w:color="auto" w:fill="B85784"/>
            <w:vAlign w:val="center"/>
          </w:tcPr>
          <w:p w14:paraId="3A7FFE6F" w14:textId="77777777" w:rsidR="0077376B" w:rsidRPr="002458E5" w:rsidRDefault="0077376B" w:rsidP="009B0664">
            <w:pPr>
              <w:pStyle w:val="TableParagraph"/>
              <w:jc w:val="center"/>
              <w:rPr>
                <w:rFonts w:ascii="IBM Plex Sans" w:hAnsi="IBM Plex Sans"/>
                <w:sz w:val="18"/>
              </w:rPr>
            </w:pPr>
          </w:p>
        </w:tc>
        <w:tc>
          <w:tcPr>
            <w:tcW w:w="1793" w:type="dxa"/>
            <w:tcBorders>
              <w:left w:val="single" w:sz="4" w:space="0" w:color="AFB5BF"/>
              <w:bottom w:val="nil"/>
              <w:right w:val="single" w:sz="4" w:space="0" w:color="AFB5BF"/>
            </w:tcBorders>
            <w:shd w:val="clear" w:color="auto" w:fill="B85784"/>
            <w:vAlign w:val="center"/>
          </w:tcPr>
          <w:p w14:paraId="5B50C16A" w14:textId="77777777" w:rsidR="0077376B" w:rsidRPr="006E74E3" w:rsidRDefault="00741200" w:rsidP="009B0664">
            <w:pPr>
              <w:pStyle w:val="TableParagraph"/>
              <w:jc w:val="center"/>
              <w:rPr>
                <w:rFonts w:ascii="IBM Plex Sans Medm" w:hAnsi="IBM Plex Sans Medm"/>
                <w:b/>
                <w:bCs/>
                <w:sz w:val="19"/>
              </w:rPr>
            </w:pPr>
            <w:r w:rsidRPr="006E74E3">
              <w:rPr>
                <w:rFonts w:ascii="IBM Plex Sans Medm" w:hAnsi="IBM Plex Sans Medm"/>
                <w:b/>
                <w:bCs/>
                <w:color w:val="FFFFFF"/>
                <w:sz w:val="19"/>
              </w:rPr>
              <w:t>Measure</w:t>
            </w:r>
          </w:p>
        </w:tc>
        <w:tc>
          <w:tcPr>
            <w:tcW w:w="5056" w:type="dxa"/>
            <w:gridSpan w:val="2"/>
            <w:tcBorders>
              <w:left w:val="single" w:sz="4" w:space="0" w:color="AFB5BF"/>
              <w:bottom w:val="nil"/>
              <w:right w:val="single" w:sz="4" w:space="0" w:color="AFB5BF"/>
            </w:tcBorders>
            <w:shd w:val="clear" w:color="auto" w:fill="B85784"/>
            <w:vAlign w:val="center"/>
          </w:tcPr>
          <w:p w14:paraId="4418D839" w14:textId="77777777" w:rsidR="0077376B" w:rsidRPr="006E74E3" w:rsidRDefault="00741200" w:rsidP="009B0664">
            <w:pPr>
              <w:pStyle w:val="TableParagraph"/>
              <w:ind w:right="2035"/>
              <w:jc w:val="center"/>
              <w:rPr>
                <w:rFonts w:ascii="IBM Plex Sans Medm" w:hAnsi="IBM Plex Sans Medm"/>
                <w:b/>
                <w:bCs/>
                <w:sz w:val="19"/>
              </w:rPr>
            </w:pPr>
            <w:r w:rsidRPr="006E74E3">
              <w:rPr>
                <w:rFonts w:ascii="IBM Plex Sans Medm" w:hAnsi="IBM Plex Sans Medm"/>
                <w:b/>
                <w:bCs/>
                <w:color w:val="FFFFFF"/>
                <w:sz w:val="19"/>
              </w:rPr>
              <w:t>Numerator</w:t>
            </w:r>
          </w:p>
        </w:tc>
        <w:tc>
          <w:tcPr>
            <w:tcW w:w="5344" w:type="dxa"/>
            <w:gridSpan w:val="2"/>
            <w:tcBorders>
              <w:left w:val="single" w:sz="4" w:space="0" w:color="AFB5BF"/>
              <w:bottom w:val="nil"/>
              <w:right w:val="single" w:sz="4" w:space="0" w:color="E3E4E7"/>
            </w:tcBorders>
            <w:shd w:val="clear" w:color="auto" w:fill="B85784"/>
            <w:vAlign w:val="center"/>
          </w:tcPr>
          <w:p w14:paraId="082BDEF3" w14:textId="77777777" w:rsidR="0077376B" w:rsidRPr="006E74E3" w:rsidRDefault="00741200" w:rsidP="009B0664">
            <w:pPr>
              <w:pStyle w:val="TableParagraph"/>
              <w:ind w:right="2086"/>
              <w:jc w:val="center"/>
              <w:rPr>
                <w:rFonts w:ascii="IBM Plex Sans Medm" w:hAnsi="IBM Plex Sans Medm"/>
                <w:b/>
                <w:bCs/>
                <w:sz w:val="19"/>
              </w:rPr>
            </w:pPr>
            <w:r w:rsidRPr="006E74E3">
              <w:rPr>
                <w:rFonts w:ascii="IBM Plex Sans Medm" w:hAnsi="IBM Plex Sans Medm"/>
                <w:b/>
                <w:bCs/>
                <w:color w:val="FFFFFF"/>
                <w:sz w:val="19"/>
              </w:rPr>
              <w:t>Denominator</w:t>
            </w:r>
          </w:p>
        </w:tc>
        <w:tc>
          <w:tcPr>
            <w:tcW w:w="1349" w:type="dxa"/>
            <w:tcBorders>
              <w:left w:val="single" w:sz="4" w:space="0" w:color="E3E4E7"/>
              <w:bottom w:val="nil"/>
            </w:tcBorders>
            <w:shd w:val="clear" w:color="auto" w:fill="B85784"/>
            <w:vAlign w:val="center"/>
          </w:tcPr>
          <w:p w14:paraId="1614B465" w14:textId="77777777" w:rsidR="0077376B" w:rsidRPr="006E74E3" w:rsidRDefault="00741200" w:rsidP="009B0664">
            <w:pPr>
              <w:pStyle w:val="TableParagraph"/>
              <w:ind w:left="48"/>
              <w:jc w:val="center"/>
              <w:rPr>
                <w:rFonts w:ascii="IBM Plex Sans Medm" w:hAnsi="IBM Plex Sans Medm"/>
                <w:b/>
                <w:bCs/>
                <w:sz w:val="19"/>
              </w:rPr>
            </w:pPr>
            <w:r w:rsidRPr="006E74E3">
              <w:rPr>
                <w:rFonts w:ascii="IBM Plex Sans Medm" w:hAnsi="IBM Plex Sans Medm"/>
                <w:b/>
                <w:bCs/>
                <w:color w:val="FFFFFF"/>
                <w:sz w:val="19"/>
              </w:rPr>
              <w:t>%</w:t>
            </w:r>
          </w:p>
        </w:tc>
      </w:tr>
      <w:tr w:rsidR="0077376B" w:rsidRPr="002458E5" w14:paraId="5706D01C" w14:textId="77777777" w:rsidTr="009B0664">
        <w:trPr>
          <w:trHeight w:val="2054"/>
        </w:trPr>
        <w:tc>
          <w:tcPr>
            <w:tcW w:w="823" w:type="dxa"/>
            <w:tcBorders>
              <w:top w:val="nil"/>
              <w:bottom w:val="single" w:sz="4" w:space="0" w:color="AFB5BF"/>
              <w:right w:val="single" w:sz="4" w:space="0" w:color="AFB5BF"/>
            </w:tcBorders>
            <w:vAlign w:val="center"/>
          </w:tcPr>
          <w:p w14:paraId="3D7A9CCE" w14:textId="77777777" w:rsidR="0077376B" w:rsidRPr="009B0664" w:rsidRDefault="00741200" w:rsidP="009B0664">
            <w:pPr>
              <w:pStyle w:val="TableParagraph"/>
              <w:jc w:val="center"/>
              <w:rPr>
                <w:rFonts w:ascii="IBM Plex Sans" w:hAnsi="IBM Plex Sans"/>
                <w:color w:val="B85784"/>
                <w:sz w:val="36"/>
              </w:rPr>
            </w:pPr>
            <w:r w:rsidRPr="009B0664">
              <w:rPr>
                <w:rFonts w:ascii="IBM Plex Sans" w:hAnsi="IBM Plex Sans"/>
                <w:color w:val="B85784"/>
                <w:sz w:val="36"/>
              </w:rPr>
              <w:t>5</w:t>
            </w:r>
          </w:p>
        </w:tc>
        <w:tc>
          <w:tcPr>
            <w:tcW w:w="1793" w:type="dxa"/>
            <w:tcBorders>
              <w:top w:val="nil"/>
              <w:left w:val="single" w:sz="4" w:space="0" w:color="AFB5BF"/>
              <w:bottom w:val="single" w:sz="4" w:space="0" w:color="AFB5BF"/>
              <w:right w:val="single" w:sz="4" w:space="0" w:color="AFB5BF"/>
            </w:tcBorders>
            <w:vAlign w:val="center"/>
          </w:tcPr>
          <w:p w14:paraId="228E166E" w14:textId="77777777" w:rsidR="0077376B" w:rsidRPr="009B0664" w:rsidRDefault="00741200" w:rsidP="009B0664">
            <w:pPr>
              <w:pStyle w:val="TableParagraph"/>
              <w:ind w:right="243"/>
              <w:jc w:val="center"/>
              <w:rPr>
                <w:rFonts w:ascii="IBM Plex Sans Medm" w:hAnsi="IBM Plex Sans Medm"/>
                <w:color w:val="8C3B61"/>
                <w:sz w:val="19"/>
              </w:rPr>
            </w:pPr>
            <w:r w:rsidRPr="009B0664">
              <w:rPr>
                <w:rFonts w:ascii="IBM Plex Sans Medm" w:hAnsi="IBM Plex Sans Medm"/>
                <w:color w:val="8C3B61"/>
                <w:sz w:val="19"/>
              </w:rPr>
              <w:t>Missed Appointment Follow-up</w:t>
            </w:r>
          </w:p>
        </w:tc>
        <w:tc>
          <w:tcPr>
            <w:tcW w:w="3327" w:type="dxa"/>
            <w:tcBorders>
              <w:top w:val="nil"/>
              <w:left w:val="single" w:sz="4" w:space="0" w:color="AFB5BF"/>
              <w:bottom w:val="single" w:sz="4" w:space="0" w:color="AFB5BF"/>
              <w:right w:val="single" w:sz="4" w:space="0" w:color="AFB5BF"/>
            </w:tcBorders>
            <w:vAlign w:val="center"/>
          </w:tcPr>
          <w:p w14:paraId="3FFF5201" w14:textId="6D127D11" w:rsidR="0077376B" w:rsidRPr="009B0664" w:rsidRDefault="00C11187" w:rsidP="009B0664">
            <w:pPr>
              <w:pStyle w:val="TableParagraph"/>
              <w:ind w:left="194" w:right="340"/>
              <w:jc w:val="center"/>
              <w:rPr>
                <w:rFonts w:ascii="IBM Plex Sans" w:hAnsi="IBM Plex Sans"/>
                <w:color w:val="121212"/>
                <w:sz w:val="19"/>
              </w:rPr>
            </w:pPr>
            <w:r w:rsidRPr="009B0664">
              <w:rPr>
                <w:rFonts w:ascii="IBM Plex Sans" w:hAnsi="IBM Plex Sans"/>
                <w:color w:val="121212"/>
                <w:sz w:val="19"/>
              </w:rPr>
              <w:t>Number of missed appointments by patients determined to be at risk of suicide where follow-up contact was made according to organization protocol during the reporting period</w:t>
            </w:r>
          </w:p>
        </w:tc>
        <w:tc>
          <w:tcPr>
            <w:tcW w:w="1729" w:type="dxa"/>
            <w:tcBorders>
              <w:top w:val="nil"/>
              <w:left w:val="single" w:sz="4" w:space="0" w:color="AFB5BF"/>
              <w:bottom w:val="single" w:sz="4" w:space="0" w:color="AFB5BF"/>
              <w:right w:val="single" w:sz="4" w:space="0" w:color="AFB5BF"/>
            </w:tcBorders>
            <w:vAlign w:val="center"/>
          </w:tcPr>
          <w:p w14:paraId="40F9B440" w14:textId="77777777" w:rsidR="0077376B" w:rsidRPr="009B0664" w:rsidRDefault="0077376B" w:rsidP="009B0664">
            <w:pPr>
              <w:pStyle w:val="TableParagraph"/>
              <w:jc w:val="center"/>
              <w:rPr>
                <w:rFonts w:ascii="IBM Plex Sans" w:hAnsi="IBM Plex Sans"/>
                <w:color w:val="121212"/>
                <w:sz w:val="18"/>
              </w:rPr>
            </w:pPr>
          </w:p>
        </w:tc>
        <w:tc>
          <w:tcPr>
            <w:tcW w:w="3615" w:type="dxa"/>
            <w:tcBorders>
              <w:top w:val="nil"/>
              <w:left w:val="single" w:sz="4" w:space="0" w:color="AFB5BF"/>
              <w:bottom w:val="single" w:sz="4" w:space="0" w:color="AFB5BF"/>
              <w:right w:val="single" w:sz="4" w:space="0" w:color="AFB5BF"/>
            </w:tcBorders>
            <w:vAlign w:val="center"/>
          </w:tcPr>
          <w:p w14:paraId="4684C474" w14:textId="74593DDD" w:rsidR="0077376B" w:rsidRPr="009B0664" w:rsidRDefault="00C11187" w:rsidP="009B0664">
            <w:pPr>
              <w:pStyle w:val="TableParagraph"/>
              <w:ind w:left="185" w:right="248" w:firstLine="7"/>
              <w:jc w:val="center"/>
              <w:rPr>
                <w:rFonts w:ascii="IBM Plex Sans" w:hAnsi="IBM Plex Sans"/>
                <w:color w:val="121212"/>
                <w:sz w:val="19"/>
              </w:rPr>
            </w:pPr>
            <w:r w:rsidRPr="009B0664">
              <w:rPr>
                <w:rFonts w:ascii="IBM Plex Sans" w:hAnsi="IBM Plex Sans"/>
                <w:color w:val="121212"/>
                <w:sz w:val="19"/>
              </w:rPr>
              <w:t>Total number of missed appointments by patients determined to be at elevated risk of suicide during the reporting period</w:t>
            </w:r>
          </w:p>
        </w:tc>
        <w:tc>
          <w:tcPr>
            <w:tcW w:w="1729" w:type="dxa"/>
            <w:tcBorders>
              <w:top w:val="nil"/>
              <w:left w:val="single" w:sz="4" w:space="0" w:color="AFB5BF"/>
              <w:bottom w:val="single" w:sz="4" w:space="0" w:color="AFB5BF"/>
              <w:right w:val="single" w:sz="4" w:space="0" w:color="AFB5BF"/>
            </w:tcBorders>
            <w:vAlign w:val="center"/>
          </w:tcPr>
          <w:p w14:paraId="6E7181BC" w14:textId="77777777" w:rsidR="0077376B" w:rsidRPr="009B0664" w:rsidRDefault="0077376B" w:rsidP="009B0664">
            <w:pPr>
              <w:pStyle w:val="TableParagraph"/>
              <w:jc w:val="center"/>
              <w:rPr>
                <w:rFonts w:ascii="IBM Plex Sans" w:hAnsi="IBM Plex Sans"/>
                <w:color w:val="121212"/>
                <w:sz w:val="18"/>
              </w:rPr>
            </w:pPr>
          </w:p>
        </w:tc>
        <w:tc>
          <w:tcPr>
            <w:tcW w:w="1349" w:type="dxa"/>
            <w:tcBorders>
              <w:top w:val="nil"/>
              <w:left w:val="single" w:sz="4" w:space="0" w:color="AFB5BF"/>
              <w:bottom w:val="single" w:sz="4" w:space="0" w:color="AFB5BF"/>
            </w:tcBorders>
            <w:vAlign w:val="center"/>
          </w:tcPr>
          <w:p w14:paraId="138B0335" w14:textId="77777777" w:rsidR="0077376B" w:rsidRPr="009B0664" w:rsidRDefault="0077376B" w:rsidP="009B0664">
            <w:pPr>
              <w:pStyle w:val="TableParagraph"/>
              <w:jc w:val="center"/>
              <w:rPr>
                <w:rFonts w:ascii="IBM Plex Sans" w:hAnsi="IBM Plex Sans"/>
                <w:color w:val="121212"/>
                <w:sz w:val="18"/>
              </w:rPr>
            </w:pPr>
          </w:p>
        </w:tc>
      </w:tr>
      <w:tr w:rsidR="0077376B" w:rsidRPr="002458E5" w14:paraId="6B7C9B31" w14:textId="77777777" w:rsidTr="009B0664">
        <w:trPr>
          <w:trHeight w:val="2031"/>
        </w:trPr>
        <w:tc>
          <w:tcPr>
            <w:tcW w:w="823" w:type="dxa"/>
            <w:tcBorders>
              <w:top w:val="single" w:sz="4" w:space="0" w:color="AFB5BF"/>
              <w:bottom w:val="single" w:sz="4" w:space="0" w:color="AFB5BF"/>
              <w:right w:val="single" w:sz="4" w:space="0" w:color="AFB5BF"/>
            </w:tcBorders>
            <w:vAlign w:val="center"/>
          </w:tcPr>
          <w:p w14:paraId="050C83F6" w14:textId="77777777" w:rsidR="0077376B" w:rsidRPr="009B0664" w:rsidRDefault="00741200" w:rsidP="009B0664">
            <w:pPr>
              <w:pStyle w:val="TableParagraph"/>
              <w:jc w:val="center"/>
              <w:rPr>
                <w:rFonts w:ascii="IBM Plex Sans" w:hAnsi="IBM Plex Sans"/>
                <w:color w:val="B85784"/>
                <w:sz w:val="36"/>
              </w:rPr>
            </w:pPr>
            <w:r w:rsidRPr="009B0664">
              <w:rPr>
                <w:rFonts w:ascii="IBM Plex Sans" w:hAnsi="IBM Plex Sans"/>
                <w:color w:val="B85784"/>
                <w:sz w:val="36"/>
              </w:rPr>
              <w:t>6</w:t>
            </w:r>
          </w:p>
        </w:tc>
        <w:tc>
          <w:tcPr>
            <w:tcW w:w="1793" w:type="dxa"/>
            <w:tcBorders>
              <w:top w:val="single" w:sz="4" w:space="0" w:color="AFB5BF"/>
              <w:left w:val="single" w:sz="4" w:space="0" w:color="AFB5BF"/>
              <w:bottom w:val="single" w:sz="4" w:space="0" w:color="AFB5BF"/>
              <w:right w:val="single" w:sz="4" w:space="0" w:color="AFB5BF"/>
            </w:tcBorders>
            <w:vAlign w:val="center"/>
          </w:tcPr>
          <w:p w14:paraId="4C2F3568" w14:textId="77777777" w:rsidR="0077376B" w:rsidRPr="009B0664" w:rsidRDefault="0077376B" w:rsidP="009B0664">
            <w:pPr>
              <w:pStyle w:val="TableParagraph"/>
              <w:ind w:right="243"/>
              <w:jc w:val="center"/>
              <w:rPr>
                <w:rFonts w:ascii="IBM Plex Sans Medm" w:hAnsi="IBM Plex Sans Medm"/>
                <w:color w:val="8C3B61"/>
                <w:sz w:val="24"/>
              </w:rPr>
            </w:pPr>
          </w:p>
          <w:p w14:paraId="76367784" w14:textId="5021F0FF" w:rsidR="0077376B" w:rsidRPr="009B0664" w:rsidRDefault="00D76B36" w:rsidP="009B0664">
            <w:pPr>
              <w:pStyle w:val="TableParagraph"/>
              <w:ind w:right="243"/>
              <w:jc w:val="center"/>
              <w:rPr>
                <w:rFonts w:ascii="IBM Plex Sans Medm" w:hAnsi="IBM Plex Sans Medm"/>
                <w:color w:val="8C3B61"/>
                <w:sz w:val="19"/>
              </w:rPr>
            </w:pPr>
            <w:r w:rsidRPr="009B0664">
              <w:rPr>
                <w:rFonts w:ascii="IBM Plex Sans Medm" w:hAnsi="IBM Plex Sans Medm"/>
                <w:color w:val="8C3B61"/>
                <w:sz w:val="19"/>
              </w:rPr>
              <w:t>Contact After Discharge</w:t>
            </w:r>
          </w:p>
        </w:tc>
        <w:tc>
          <w:tcPr>
            <w:tcW w:w="3327" w:type="dxa"/>
            <w:tcBorders>
              <w:top w:val="single" w:sz="4" w:space="0" w:color="AFB5BF"/>
              <w:left w:val="single" w:sz="4" w:space="0" w:color="AFB5BF"/>
              <w:bottom w:val="single" w:sz="4" w:space="0" w:color="AFB5BF"/>
              <w:right w:val="single" w:sz="4" w:space="0" w:color="AFB5BF"/>
            </w:tcBorders>
            <w:vAlign w:val="center"/>
          </w:tcPr>
          <w:p w14:paraId="229403D5" w14:textId="6634C8F9" w:rsidR="0077376B" w:rsidRPr="009B0664" w:rsidRDefault="00741200" w:rsidP="009B0664">
            <w:pPr>
              <w:pStyle w:val="TableParagraph"/>
              <w:ind w:left="194" w:right="340"/>
              <w:jc w:val="center"/>
              <w:rPr>
                <w:rFonts w:ascii="IBM Plex Sans" w:hAnsi="IBM Plex Sans"/>
                <w:color w:val="121212"/>
                <w:sz w:val="19"/>
              </w:rPr>
            </w:pPr>
            <w:r w:rsidRPr="009B0664">
              <w:rPr>
                <w:rFonts w:ascii="IBM Plex Sans" w:hAnsi="IBM Plex Sans"/>
                <w:color w:val="121212"/>
                <w:sz w:val="19"/>
              </w:rPr>
              <w:t xml:space="preserve">Number of </w:t>
            </w:r>
            <w:r w:rsidR="008F5AAA" w:rsidRPr="009B0664">
              <w:rPr>
                <w:rFonts w:ascii="IBM Plex Sans" w:hAnsi="IBM Plex Sans"/>
                <w:color w:val="121212"/>
                <w:sz w:val="19"/>
              </w:rPr>
              <w:t>patients</w:t>
            </w:r>
            <w:r w:rsidRPr="009B0664">
              <w:rPr>
                <w:rFonts w:ascii="IBM Plex Sans" w:hAnsi="IBM Plex Sans"/>
                <w:color w:val="121212"/>
                <w:sz w:val="19"/>
              </w:rPr>
              <w:t xml:space="preserve"> </w:t>
            </w:r>
            <w:r w:rsidR="00D76B36" w:rsidRPr="009B0664">
              <w:rPr>
                <w:rFonts w:ascii="IBM Plex Sans" w:hAnsi="IBM Plex Sans"/>
                <w:color w:val="121212"/>
                <w:sz w:val="19"/>
              </w:rPr>
              <w:t>determined to be at elevated risk at separation (i.e., discharge, referral, transfer) who were contacted after discharge</w:t>
            </w:r>
            <w:r w:rsidRPr="009B0664">
              <w:rPr>
                <w:rFonts w:ascii="IBM Plex Sans" w:hAnsi="IBM Plex Sans"/>
                <w:color w:val="121212"/>
                <w:sz w:val="19"/>
              </w:rPr>
              <w:t xml:space="preserve">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2363C60B" w14:textId="77777777" w:rsidR="0077376B" w:rsidRPr="009B0664" w:rsidRDefault="0077376B" w:rsidP="009B0664">
            <w:pPr>
              <w:pStyle w:val="TableParagraph"/>
              <w:jc w:val="center"/>
              <w:rPr>
                <w:rFonts w:ascii="IBM Plex Sans" w:hAnsi="IBM Plex Sans"/>
                <w:color w:val="121212"/>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45B1484C" w14:textId="0970EAF8" w:rsidR="0077376B" w:rsidRPr="009B0664" w:rsidRDefault="00741200" w:rsidP="009B0664">
            <w:pPr>
              <w:pStyle w:val="TableParagraph"/>
              <w:ind w:left="185" w:right="199" w:firstLine="7"/>
              <w:jc w:val="center"/>
              <w:rPr>
                <w:rFonts w:ascii="IBM Plex Sans" w:hAnsi="IBM Plex Sans"/>
                <w:color w:val="121212"/>
                <w:sz w:val="19"/>
              </w:rPr>
            </w:pPr>
            <w:r w:rsidRPr="009B0664">
              <w:rPr>
                <w:rFonts w:ascii="IBM Plex Sans" w:hAnsi="IBM Plex Sans"/>
                <w:color w:val="121212"/>
                <w:sz w:val="19"/>
              </w:rPr>
              <w:t xml:space="preserve">Number of </w:t>
            </w:r>
            <w:r w:rsidR="008F5AAA" w:rsidRPr="009B0664">
              <w:rPr>
                <w:rFonts w:ascii="IBM Plex Sans" w:hAnsi="IBM Plex Sans"/>
                <w:color w:val="121212"/>
                <w:sz w:val="19"/>
              </w:rPr>
              <w:t>patients</w:t>
            </w:r>
            <w:r w:rsidRPr="009B0664">
              <w:rPr>
                <w:rFonts w:ascii="IBM Plex Sans" w:hAnsi="IBM Plex Sans"/>
                <w:color w:val="121212"/>
                <w:sz w:val="19"/>
              </w:rPr>
              <w:t xml:space="preserve"> </w:t>
            </w:r>
            <w:r w:rsidR="00D76B36" w:rsidRPr="009B0664">
              <w:rPr>
                <w:rFonts w:ascii="IBM Plex Sans" w:hAnsi="IBM Plex Sans"/>
                <w:color w:val="121212"/>
                <w:sz w:val="19"/>
              </w:rPr>
              <w:t xml:space="preserve">determined to be at elevated risk at separation (i.e., discharge, referral, transfer) </w:t>
            </w:r>
            <w:r w:rsidRPr="009B0664">
              <w:rPr>
                <w:rFonts w:ascii="IBM Plex Sans" w:hAnsi="IBM Plex Sans"/>
                <w:color w:val="121212"/>
                <w:sz w:val="19"/>
              </w:rPr>
              <w:t>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3D2F5D35" w14:textId="77777777" w:rsidR="0077376B" w:rsidRPr="009B0664" w:rsidRDefault="0077376B" w:rsidP="009B0664">
            <w:pPr>
              <w:pStyle w:val="TableParagraph"/>
              <w:jc w:val="center"/>
              <w:rPr>
                <w:rFonts w:ascii="IBM Plex Sans" w:hAnsi="IBM Plex Sans"/>
                <w:color w:val="121212"/>
                <w:sz w:val="18"/>
              </w:rPr>
            </w:pPr>
          </w:p>
        </w:tc>
        <w:tc>
          <w:tcPr>
            <w:tcW w:w="1349" w:type="dxa"/>
            <w:tcBorders>
              <w:top w:val="single" w:sz="4" w:space="0" w:color="AFB5BF"/>
              <w:left w:val="single" w:sz="4" w:space="0" w:color="AFB5BF"/>
              <w:bottom w:val="single" w:sz="4" w:space="0" w:color="AFB5BF"/>
            </w:tcBorders>
            <w:vAlign w:val="center"/>
          </w:tcPr>
          <w:p w14:paraId="5D178CAC" w14:textId="77777777" w:rsidR="0077376B" w:rsidRPr="009B0664" w:rsidRDefault="0077376B" w:rsidP="009B0664">
            <w:pPr>
              <w:pStyle w:val="TableParagraph"/>
              <w:jc w:val="center"/>
              <w:rPr>
                <w:rFonts w:ascii="IBM Plex Sans" w:hAnsi="IBM Plex Sans"/>
                <w:color w:val="121212"/>
                <w:sz w:val="18"/>
              </w:rPr>
            </w:pPr>
          </w:p>
        </w:tc>
      </w:tr>
      <w:tr w:rsidR="008F5AAA" w:rsidRPr="002458E5" w14:paraId="06ECF881" w14:textId="77777777" w:rsidTr="009B0664">
        <w:trPr>
          <w:trHeight w:val="2031"/>
        </w:trPr>
        <w:tc>
          <w:tcPr>
            <w:tcW w:w="823" w:type="dxa"/>
            <w:tcBorders>
              <w:top w:val="single" w:sz="4" w:space="0" w:color="AFB5BF"/>
              <w:bottom w:val="single" w:sz="4" w:space="0" w:color="AFB5BF"/>
              <w:right w:val="single" w:sz="4" w:space="0" w:color="AFB5BF"/>
            </w:tcBorders>
            <w:vAlign w:val="center"/>
          </w:tcPr>
          <w:p w14:paraId="69BCCF43" w14:textId="4C060FC8" w:rsidR="008F5AAA" w:rsidRPr="009B0664" w:rsidRDefault="008F5AAA" w:rsidP="009B0664">
            <w:pPr>
              <w:pStyle w:val="TableParagraph"/>
              <w:jc w:val="center"/>
              <w:rPr>
                <w:rFonts w:ascii="IBM Plex Sans" w:hAnsi="IBM Plex Sans"/>
                <w:color w:val="B85784"/>
                <w:sz w:val="46"/>
              </w:rPr>
            </w:pPr>
            <w:r w:rsidRPr="009B0664">
              <w:rPr>
                <w:rFonts w:ascii="IBM Plex Sans" w:hAnsi="IBM Plex Sans"/>
                <w:color w:val="B85784"/>
                <w:sz w:val="36"/>
              </w:rPr>
              <w:t>7</w:t>
            </w:r>
          </w:p>
        </w:tc>
        <w:tc>
          <w:tcPr>
            <w:tcW w:w="1793" w:type="dxa"/>
            <w:tcBorders>
              <w:top w:val="single" w:sz="4" w:space="0" w:color="AFB5BF"/>
              <w:left w:val="single" w:sz="4" w:space="0" w:color="AFB5BF"/>
              <w:bottom w:val="single" w:sz="4" w:space="0" w:color="AFB5BF"/>
              <w:right w:val="single" w:sz="4" w:space="0" w:color="AFB5BF"/>
            </w:tcBorders>
            <w:vAlign w:val="center"/>
          </w:tcPr>
          <w:p w14:paraId="0B683C59" w14:textId="2803F589" w:rsidR="008F5AAA" w:rsidRPr="009B0664" w:rsidRDefault="008F5AAA" w:rsidP="009B0664">
            <w:pPr>
              <w:pStyle w:val="TableParagraph"/>
              <w:ind w:left="194" w:right="243"/>
              <w:jc w:val="center"/>
              <w:rPr>
                <w:rFonts w:ascii="IBM Plex Sans Medm" w:hAnsi="IBM Plex Sans Medm"/>
                <w:color w:val="8C3B61"/>
                <w:sz w:val="24"/>
              </w:rPr>
            </w:pPr>
            <w:r w:rsidRPr="009B0664">
              <w:rPr>
                <w:rFonts w:ascii="IBM Plex Sans Medm" w:hAnsi="IBM Plex Sans Medm"/>
                <w:color w:val="8C3B61"/>
                <w:sz w:val="19"/>
              </w:rPr>
              <w:t>Caring Contacts</w:t>
            </w:r>
          </w:p>
        </w:tc>
        <w:tc>
          <w:tcPr>
            <w:tcW w:w="3327" w:type="dxa"/>
            <w:tcBorders>
              <w:top w:val="single" w:sz="4" w:space="0" w:color="AFB5BF"/>
              <w:left w:val="single" w:sz="4" w:space="0" w:color="AFB5BF"/>
              <w:bottom w:val="single" w:sz="4" w:space="0" w:color="AFB5BF"/>
              <w:right w:val="single" w:sz="4" w:space="0" w:color="AFB5BF"/>
            </w:tcBorders>
            <w:vAlign w:val="center"/>
          </w:tcPr>
          <w:p w14:paraId="38DFD13D" w14:textId="1471C586" w:rsidR="008F5AAA" w:rsidRPr="009B0664" w:rsidRDefault="00D76B36" w:rsidP="009B0664">
            <w:pPr>
              <w:pStyle w:val="TableParagraph"/>
              <w:ind w:left="194" w:right="340"/>
              <w:jc w:val="center"/>
              <w:rPr>
                <w:rFonts w:ascii="IBM Plex Sans" w:hAnsi="IBM Plex Sans"/>
                <w:color w:val="121212"/>
                <w:sz w:val="19"/>
              </w:rPr>
            </w:pPr>
            <w:r w:rsidRPr="009B0664">
              <w:rPr>
                <w:rFonts w:ascii="IBM Plex Sans" w:hAnsi="IBM Plex Sans"/>
                <w:color w:val="121212"/>
                <w:sz w:val="19"/>
              </w:rPr>
              <w:t>Number of patients that received a caring contact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7D6ADFC2" w14:textId="77777777" w:rsidR="008F5AAA" w:rsidRPr="009B0664" w:rsidRDefault="008F5AAA" w:rsidP="009B0664">
            <w:pPr>
              <w:pStyle w:val="TableParagraph"/>
              <w:jc w:val="center"/>
              <w:rPr>
                <w:rFonts w:ascii="IBM Plex Sans" w:hAnsi="IBM Plex Sans"/>
                <w:color w:val="121212"/>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4981F890" w14:textId="5AB801F8" w:rsidR="00D76B36" w:rsidRPr="009B0664" w:rsidRDefault="00D76B36" w:rsidP="009B0664">
            <w:pPr>
              <w:pStyle w:val="TableParagraph"/>
              <w:ind w:left="185" w:right="452" w:firstLine="7"/>
              <w:jc w:val="center"/>
              <w:rPr>
                <w:rFonts w:ascii="IBM Plex Sans" w:hAnsi="IBM Plex Sans"/>
                <w:color w:val="121212"/>
                <w:sz w:val="19"/>
              </w:rPr>
            </w:pPr>
            <w:r w:rsidRPr="009B0664">
              <w:rPr>
                <w:rFonts w:ascii="IBM Plex Sans" w:hAnsi="IBM Plex Sans"/>
                <w:color w:val="121212"/>
                <w:sz w:val="19"/>
              </w:rPr>
              <w:t>Number of patients treated for suicidal thoughts and behaviors who separated from care during the reporting period</w:t>
            </w:r>
          </w:p>
          <w:p w14:paraId="08170413" w14:textId="4867FCAE" w:rsidR="008F5AAA" w:rsidRPr="009B0664" w:rsidRDefault="008F5AAA" w:rsidP="009B0664">
            <w:pPr>
              <w:pStyle w:val="TableParagraph"/>
              <w:ind w:left="185" w:right="199" w:firstLine="7"/>
              <w:jc w:val="center"/>
              <w:rPr>
                <w:rFonts w:ascii="IBM Plex Sans" w:hAnsi="IBM Plex Sans"/>
                <w:color w:val="121212"/>
                <w:sz w:val="19"/>
              </w:rPr>
            </w:pPr>
          </w:p>
        </w:tc>
        <w:tc>
          <w:tcPr>
            <w:tcW w:w="1729" w:type="dxa"/>
            <w:tcBorders>
              <w:top w:val="single" w:sz="4" w:space="0" w:color="AFB5BF"/>
              <w:left w:val="single" w:sz="4" w:space="0" w:color="AFB5BF"/>
              <w:bottom w:val="single" w:sz="4" w:space="0" w:color="AFB5BF"/>
              <w:right w:val="single" w:sz="4" w:space="0" w:color="AFB5BF"/>
            </w:tcBorders>
            <w:vAlign w:val="center"/>
          </w:tcPr>
          <w:p w14:paraId="76040445" w14:textId="77777777" w:rsidR="008F5AAA" w:rsidRPr="009B0664" w:rsidRDefault="008F5AAA" w:rsidP="009B0664">
            <w:pPr>
              <w:pStyle w:val="TableParagraph"/>
              <w:jc w:val="center"/>
              <w:rPr>
                <w:rFonts w:ascii="IBM Plex Sans" w:hAnsi="IBM Plex Sans"/>
                <w:color w:val="121212"/>
                <w:sz w:val="18"/>
              </w:rPr>
            </w:pPr>
          </w:p>
        </w:tc>
        <w:tc>
          <w:tcPr>
            <w:tcW w:w="1349" w:type="dxa"/>
            <w:tcBorders>
              <w:top w:val="single" w:sz="4" w:space="0" w:color="AFB5BF"/>
              <w:left w:val="single" w:sz="4" w:space="0" w:color="AFB5BF"/>
              <w:bottom w:val="single" w:sz="4" w:space="0" w:color="AFB5BF"/>
            </w:tcBorders>
            <w:vAlign w:val="center"/>
          </w:tcPr>
          <w:p w14:paraId="1324D430" w14:textId="77777777" w:rsidR="008F5AAA" w:rsidRPr="009B0664" w:rsidRDefault="008F5AAA" w:rsidP="009B0664">
            <w:pPr>
              <w:pStyle w:val="TableParagraph"/>
              <w:jc w:val="center"/>
              <w:rPr>
                <w:rFonts w:ascii="IBM Plex Sans" w:hAnsi="IBM Plex Sans"/>
                <w:color w:val="121212"/>
                <w:sz w:val="18"/>
              </w:rPr>
            </w:pPr>
          </w:p>
        </w:tc>
      </w:tr>
      <w:tr w:rsidR="00C11187" w:rsidRPr="002458E5" w14:paraId="1C3A9AD6" w14:textId="77777777" w:rsidTr="009B0664">
        <w:trPr>
          <w:trHeight w:val="2031"/>
        </w:trPr>
        <w:tc>
          <w:tcPr>
            <w:tcW w:w="823" w:type="dxa"/>
            <w:tcBorders>
              <w:top w:val="single" w:sz="4" w:space="0" w:color="AFB5BF"/>
              <w:right w:val="single" w:sz="4" w:space="0" w:color="AFB5BF"/>
            </w:tcBorders>
            <w:vAlign w:val="center"/>
          </w:tcPr>
          <w:p w14:paraId="5383C4AA" w14:textId="145829C3" w:rsidR="00C11187" w:rsidRPr="009B0664" w:rsidRDefault="00C11187" w:rsidP="009B0664">
            <w:pPr>
              <w:pStyle w:val="TableParagraph"/>
              <w:jc w:val="center"/>
              <w:rPr>
                <w:rFonts w:ascii="IBM Plex Sans" w:hAnsi="IBM Plex Sans"/>
                <w:b/>
                <w:bCs/>
                <w:color w:val="B85784"/>
                <w:sz w:val="36"/>
              </w:rPr>
            </w:pPr>
            <w:r w:rsidRPr="009B0664">
              <w:rPr>
                <w:rFonts w:ascii="IBM Plex Sans" w:hAnsi="IBM Plex Sans"/>
                <w:color w:val="B85784"/>
                <w:sz w:val="36"/>
              </w:rPr>
              <w:t>8</w:t>
            </w:r>
          </w:p>
        </w:tc>
        <w:tc>
          <w:tcPr>
            <w:tcW w:w="1793" w:type="dxa"/>
            <w:tcBorders>
              <w:top w:val="single" w:sz="4" w:space="0" w:color="AFB5BF"/>
              <w:left w:val="single" w:sz="4" w:space="0" w:color="AFB5BF"/>
              <w:right w:val="single" w:sz="4" w:space="0" w:color="AFB5BF"/>
            </w:tcBorders>
            <w:vAlign w:val="center"/>
          </w:tcPr>
          <w:p w14:paraId="011C9217" w14:textId="41E4C247" w:rsidR="00C11187" w:rsidRPr="009B0664" w:rsidRDefault="00C11187" w:rsidP="009B0664">
            <w:pPr>
              <w:pStyle w:val="TableParagraph"/>
              <w:ind w:left="99" w:right="153"/>
              <w:jc w:val="center"/>
              <w:rPr>
                <w:rFonts w:ascii="IBM Plex Sans Medm" w:hAnsi="IBM Plex Sans Medm"/>
                <w:color w:val="8C3B61"/>
                <w:sz w:val="19"/>
              </w:rPr>
            </w:pPr>
            <w:r w:rsidRPr="009B0664">
              <w:rPr>
                <w:rFonts w:ascii="IBM Plex Sans Medm" w:hAnsi="IBM Plex Sans Medm"/>
                <w:color w:val="8C3B61"/>
                <w:sz w:val="19"/>
              </w:rPr>
              <w:t>Evidence-</w:t>
            </w:r>
            <w:r w:rsidR="009B0664">
              <w:rPr>
                <w:rFonts w:ascii="IBM Plex Sans Medm" w:hAnsi="IBM Plex Sans Medm"/>
                <w:color w:val="8C3B61"/>
                <w:sz w:val="19"/>
              </w:rPr>
              <w:t>B</w:t>
            </w:r>
            <w:r w:rsidRPr="009B0664">
              <w:rPr>
                <w:rFonts w:ascii="IBM Plex Sans Medm" w:hAnsi="IBM Plex Sans Medm"/>
                <w:color w:val="8C3B61"/>
                <w:sz w:val="19"/>
              </w:rPr>
              <w:t xml:space="preserve">ased, </w:t>
            </w:r>
            <w:r w:rsidR="009B0664">
              <w:rPr>
                <w:rFonts w:ascii="IBM Plex Sans Medm" w:hAnsi="IBM Plex Sans Medm"/>
                <w:color w:val="8C3B61"/>
                <w:sz w:val="19"/>
              </w:rPr>
              <w:t>S</w:t>
            </w:r>
            <w:r w:rsidRPr="009B0664">
              <w:rPr>
                <w:rFonts w:ascii="IBM Plex Sans Medm" w:hAnsi="IBM Plex Sans Medm"/>
                <w:color w:val="8C3B61"/>
                <w:sz w:val="19"/>
              </w:rPr>
              <w:t>uicide-</w:t>
            </w:r>
            <w:r w:rsidR="009B0664">
              <w:rPr>
                <w:rFonts w:ascii="IBM Plex Sans Medm" w:hAnsi="IBM Plex Sans Medm"/>
                <w:color w:val="8C3B61"/>
                <w:sz w:val="19"/>
              </w:rPr>
              <w:t>S</w:t>
            </w:r>
            <w:r w:rsidRPr="009B0664">
              <w:rPr>
                <w:rFonts w:ascii="IBM Plex Sans Medm" w:hAnsi="IBM Plex Sans Medm"/>
                <w:color w:val="8C3B61"/>
                <w:sz w:val="19"/>
              </w:rPr>
              <w:t xml:space="preserve">pecific </w:t>
            </w:r>
            <w:r w:rsidR="009B0664">
              <w:rPr>
                <w:rFonts w:ascii="IBM Plex Sans Medm" w:hAnsi="IBM Plex Sans Medm"/>
                <w:color w:val="8C3B61"/>
                <w:sz w:val="19"/>
              </w:rPr>
              <w:t>Tr</w:t>
            </w:r>
            <w:r w:rsidRPr="009B0664">
              <w:rPr>
                <w:rFonts w:ascii="IBM Plex Sans Medm" w:hAnsi="IBM Plex Sans Medm"/>
                <w:color w:val="8C3B61"/>
                <w:sz w:val="19"/>
              </w:rPr>
              <w:t>eatment</w:t>
            </w:r>
          </w:p>
        </w:tc>
        <w:tc>
          <w:tcPr>
            <w:tcW w:w="3327" w:type="dxa"/>
            <w:tcBorders>
              <w:top w:val="single" w:sz="4" w:space="0" w:color="AFB5BF"/>
              <w:left w:val="single" w:sz="4" w:space="0" w:color="AFB5BF"/>
              <w:right w:val="single" w:sz="4" w:space="0" w:color="AFB5BF"/>
            </w:tcBorders>
            <w:vAlign w:val="center"/>
          </w:tcPr>
          <w:p w14:paraId="401D3826" w14:textId="1EBFBF43" w:rsidR="00C11187" w:rsidRPr="009B0664" w:rsidRDefault="003129D4" w:rsidP="009B0664">
            <w:pPr>
              <w:pStyle w:val="TableParagraph"/>
              <w:ind w:left="194" w:right="340"/>
              <w:jc w:val="center"/>
              <w:rPr>
                <w:rFonts w:ascii="IBM Plex Sans" w:hAnsi="IBM Plex Sans"/>
                <w:color w:val="121212"/>
                <w:sz w:val="19"/>
              </w:rPr>
            </w:pPr>
            <w:r w:rsidRPr="009B0664">
              <w:rPr>
                <w:rFonts w:ascii="IBM Plex Sans" w:hAnsi="IBM Plex Sans"/>
                <w:color w:val="121212"/>
                <w:sz w:val="19"/>
              </w:rPr>
              <w:t>Number of patients on a care management plan that received evidence-based, suicide specific treatment during the reporting period</w:t>
            </w:r>
          </w:p>
        </w:tc>
        <w:tc>
          <w:tcPr>
            <w:tcW w:w="1729" w:type="dxa"/>
            <w:tcBorders>
              <w:top w:val="single" w:sz="4" w:space="0" w:color="AFB5BF"/>
              <w:left w:val="single" w:sz="4" w:space="0" w:color="AFB5BF"/>
              <w:right w:val="single" w:sz="4" w:space="0" w:color="AFB5BF"/>
            </w:tcBorders>
            <w:vAlign w:val="center"/>
          </w:tcPr>
          <w:p w14:paraId="3BFFE1B3" w14:textId="77777777" w:rsidR="00C11187" w:rsidRPr="009B0664" w:rsidRDefault="00C11187" w:rsidP="009B0664">
            <w:pPr>
              <w:pStyle w:val="TableParagraph"/>
              <w:jc w:val="center"/>
              <w:rPr>
                <w:rFonts w:ascii="IBM Plex Sans" w:hAnsi="IBM Plex Sans"/>
                <w:color w:val="121212"/>
                <w:sz w:val="18"/>
              </w:rPr>
            </w:pPr>
          </w:p>
        </w:tc>
        <w:tc>
          <w:tcPr>
            <w:tcW w:w="3615" w:type="dxa"/>
            <w:tcBorders>
              <w:top w:val="single" w:sz="4" w:space="0" w:color="AFB5BF"/>
              <w:left w:val="single" w:sz="4" w:space="0" w:color="AFB5BF"/>
              <w:right w:val="single" w:sz="4" w:space="0" w:color="AFB5BF"/>
            </w:tcBorders>
            <w:vAlign w:val="center"/>
          </w:tcPr>
          <w:p w14:paraId="62825170" w14:textId="3CC3EE52" w:rsidR="00C11187" w:rsidRPr="009B0664" w:rsidRDefault="00D76B36" w:rsidP="009B0664">
            <w:pPr>
              <w:pStyle w:val="TableParagraph"/>
              <w:ind w:left="185" w:right="452" w:firstLine="7"/>
              <w:jc w:val="center"/>
              <w:rPr>
                <w:rFonts w:ascii="IBM Plex Sans" w:hAnsi="IBM Plex Sans"/>
                <w:color w:val="121212"/>
                <w:sz w:val="19"/>
              </w:rPr>
            </w:pPr>
            <w:r w:rsidRPr="009B0664">
              <w:rPr>
                <w:rFonts w:ascii="IBM Plex Sans" w:hAnsi="IBM Plex Sans"/>
                <w:color w:val="121212"/>
                <w:sz w:val="19"/>
              </w:rPr>
              <w:t>N</w:t>
            </w:r>
            <w:r w:rsidR="003129D4" w:rsidRPr="009B0664">
              <w:rPr>
                <w:rFonts w:ascii="IBM Plex Sans" w:hAnsi="IBM Plex Sans"/>
                <w:color w:val="121212"/>
                <w:sz w:val="19"/>
              </w:rPr>
              <w:t>umber of patients on a care management plan during the reporting period</w:t>
            </w:r>
          </w:p>
        </w:tc>
        <w:tc>
          <w:tcPr>
            <w:tcW w:w="1729" w:type="dxa"/>
            <w:tcBorders>
              <w:top w:val="single" w:sz="4" w:space="0" w:color="AFB5BF"/>
              <w:left w:val="single" w:sz="4" w:space="0" w:color="AFB5BF"/>
              <w:right w:val="single" w:sz="4" w:space="0" w:color="AFB5BF"/>
            </w:tcBorders>
            <w:vAlign w:val="center"/>
          </w:tcPr>
          <w:p w14:paraId="3C7B257B" w14:textId="77777777" w:rsidR="00C11187" w:rsidRPr="009B0664" w:rsidRDefault="00C11187" w:rsidP="009B0664">
            <w:pPr>
              <w:pStyle w:val="TableParagraph"/>
              <w:jc w:val="center"/>
              <w:rPr>
                <w:rFonts w:ascii="IBM Plex Sans" w:hAnsi="IBM Plex Sans"/>
                <w:color w:val="121212"/>
                <w:sz w:val="18"/>
              </w:rPr>
            </w:pPr>
          </w:p>
        </w:tc>
        <w:tc>
          <w:tcPr>
            <w:tcW w:w="1349" w:type="dxa"/>
            <w:tcBorders>
              <w:top w:val="single" w:sz="4" w:space="0" w:color="AFB5BF"/>
              <w:left w:val="single" w:sz="4" w:space="0" w:color="AFB5BF"/>
            </w:tcBorders>
            <w:vAlign w:val="center"/>
          </w:tcPr>
          <w:p w14:paraId="5B59B9D2" w14:textId="77777777" w:rsidR="00C11187" w:rsidRPr="009B0664" w:rsidRDefault="00C11187" w:rsidP="009B0664">
            <w:pPr>
              <w:pStyle w:val="TableParagraph"/>
              <w:jc w:val="center"/>
              <w:rPr>
                <w:rFonts w:ascii="IBM Plex Sans" w:hAnsi="IBM Plex Sans"/>
                <w:color w:val="121212"/>
                <w:sz w:val="18"/>
              </w:rPr>
            </w:pPr>
          </w:p>
        </w:tc>
      </w:tr>
    </w:tbl>
    <w:p w14:paraId="265A988B" w14:textId="77777777" w:rsidR="0077376B" w:rsidRPr="002458E5" w:rsidRDefault="0077376B" w:rsidP="00561FBB">
      <w:pPr>
        <w:pStyle w:val="BodyText"/>
        <w:rPr>
          <w:rFonts w:ascii="IBM Plex Sans" w:hAnsi="IBM Plex Sans"/>
          <w:sz w:val="10"/>
        </w:rPr>
      </w:pPr>
    </w:p>
    <w:p w14:paraId="3910ADF0" w14:textId="77777777" w:rsidR="00857F86" w:rsidRPr="002458E5" w:rsidRDefault="00857F86" w:rsidP="00561FBB">
      <w:pPr>
        <w:rPr>
          <w:rFonts w:ascii="IBM Plex Sans" w:hAnsi="IBM Plex Sans"/>
        </w:rPr>
      </w:pPr>
      <w:r w:rsidRPr="002458E5">
        <w:rPr>
          <w:rFonts w:ascii="IBM Plex Sans" w:hAnsi="IBM Plex Sans"/>
        </w:rPr>
        <w:br w:type="page"/>
      </w:r>
    </w:p>
    <w:tbl>
      <w:tblPr>
        <w:tblW w:w="14242" w:type="dxa"/>
        <w:tblInd w:w="765" w:type="dxa"/>
        <w:tblBorders>
          <w:top w:val="single" w:sz="18" w:space="0" w:color="E3E4E7"/>
          <w:left w:val="single" w:sz="18" w:space="0" w:color="E3E4E7"/>
          <w:bottom w:val="single" w:sz="18" w:space="0" w:color="E3E4E7"/>
          <w:right w:val="single" w:sz="18" w:space="0" w:color="E3E4E7"/>
          <w:insideH w:val="single" w:sz="18" w:space="0" w:color="E3E4E7"/>
          <w:insideV w:val="single" w:sz="18" w:space="0" w:color="E3E4E7"/>
        </w:tblBorders>
        <w:tblLayout w:type="fixed"/>
        <w:tblCellMar>
          <w:left w:w="0" w:type="dxa"/>
          <w:right w:w="0" w:type="dxa"/>
        </w:tblCellMar>
        <w:tblLook w:val="01E0" w:firstRow="1" w:lastRow="1" w:firstColumn="1" w:lastColumn="1" w:noHBand="0" w:noVBand="0"/>
      </w:tblPr>
      <w:tblGrid>
        <w:gridCol w:w="823"/>
        <w:gridCol w:w="1793"/>
        <w:gridCol w:w="2446"/>
        <w:gridCol w:w="1800"/>
        <w:gridCol w:w="2430"/>
        <w:gridCol w:w="1350"/>
        <w:gridCol w:w="2160"/>
        <w:gridCol w:w="1440"/>
      </w:tblGrid>
      <w:tr w:rsidR="00336253" w:rsidRPr="002458E5" w14:paraId="05B050BD" w14:textId="77777777" w:rsidTr="00336253">
        <w:trPr>
          <w:trHeight w:val="442"/>
        </w:trPr>
        <w:tc>
          <w:tcPr>
            <w:tcW w:w="823" w:type="dxa"/>
            <w:tcBorders>
              <w:bottom w:val="nil"/>
              <w:right w:val="single" w:sz="4" w:space="0" w:color="AFB5BF"/>
            </w:tcBorders>
            <w:shd w:val="clear" w:color="auto" w:fill="B85784"/>
            <w:vAlign w:val="center"/>
          </w:tcPr>
          <w:p w14:paraId="1213FB7B" w14:textId="77777777" w:rsidR="00336253" w:rsidRPr="002458E5" w:rsidRDefault="00336253" w:rsidP="00DD2067">
            <w:pPr>
              <w:pStyle w:val="TableParagraph"/>
              <w:jc w:val="center"/>
              <w:rPr>
                <w:rFonts w:ascii="IBM Plex Sans" w:hAnsi="IBM Plex Sans"/>
                <w:sz w:val="18"/>
              </w:rPr>
            </w:pPr>
          </w:p>
        </w:tc>
        <w:tc>
          <w:tcPr>
            <w:tcW w:w="1793" w:type="dxa"/>
            <w:tcBorders>
              <w:left w:val="single" w:sz="4" w:space="0" w:color="AFB5BF"/>
              <w:bottom w:val="nil"/>
              <w:right w:val="single" w:sz="4" w:space="0" w:color="AFB5BF"/>
            </w:tcBorders>
            <w:shd w:val="clear" w:color="auto" w:fill="B85784"/>
            <w:vAlign w:val="center"/>
          </w:tcPr>
          <w:p w14:paraId="23A3488B" w14:textId="77777777" w:rsidR="00336253" w:rsidRPr="006E74E3" w:rsidRDefault="00336253" w:rsidP="00DD2067">
            <w:pPr>
              <w:pStyle w:val="TableParagraph"/>
              <w:jc w:val="center"/>
              <w:rPr>
                <w:rFonts w:ascii="IBM Plex Sans Medm" w:hAnsi="IBM Plex Sans Medm"/>
                <w:b/>
                <w:bCs/>
                <w:sz w:val="19"/>
              </w:rPr>
            </w:pPr>
            <w:r w:rsidRPr="006E74E3">
              <w:rPr>
                <w:rFonts w:ascii="IBM Plex Sans Medm" w:hAnsi="IBM Plex Sans Medm"/>
                <w:b/>
                <w:bCs/>
                <w:color w:val="FFFFFF"/>
                <w:sz w:val="19"/>
              </w:rPr>
              <w:t>Measure</w:t>
            </w:r>
          </w:p>
        </w:tc>
        <w:tc>
          <w:tcPr>
            <w:tcW w:w="4246" w:type="dxa"/>
            <w:gridSpan w:val="2"/>
            <w:tcBorders>
              <w:left w:val="single" w:sz="4" w:space="0" w:color="AFB5BF"/>
              <w:bottom w:val="nil"/>
              <w:right w:val="single" w:sz="4" w:space="0" w:color="AFB5BF"/>
            </w:tcBorders>
            <w:shd w:val="clear" w:color="auto" w:fill="B85784"/>
            <w:vAlign w:val="center"/>
          </w:tcPr>
          <w:p w14:paraId="4A22D270" w14:textId="77777777" w:rsidR="00336253" w:rsidRPr="006E74E3" w:rsidRDefault="00336253" w:rsidP="00336253">
            <w:pPr>
              <w:pStyle w:val="TableParagraph"/>
              <w:ind w:right="1792"/>
              <w:jc w:val="center"/>
              <w:rPr>
                <w:rFonts w:ascii="IBM Plex Sans Medm" w:hAnsi="IBM Plex Sans Medm"/>
                <w:b/>
                <w:bCs/>
                <w:sz w:val="19"/>
              </w:rPr>
            </w:pPr>
            <w:r w:rsidRPr="006E74E3">
              <w:rPr>
                <w:rFonts w:ascii="IBM Plex Sans Medm" w:hAnsi="IBM Plex Sans Medm"/>
                <w:b/>
                <w:bCs/>
                <w:color w:val="FFFFFF"/>
                <w:sz w:val="19"/>
              </w:rPr>
              <w:t>Numerator</w:t>
            </w:r>
          </w:p>
        </w:tc>
        <w:tc>
          <w:tcPr>
            <w:tcW w:w="3780" w:type="dxa"/>
            <w:gridSpan w:val="2"/>
            <w:tcBorders>
              <w:left w:val="single" w:sz="4" w:space="0" w:color="AFB5BF"/>
              <w:bottom w:val="nil"/>
              <w:right w:val="single" w:sz="4" w:space="0" w:color="E3E4E7"/>
            </w:tcBorders>
            <w:shd w:val="clear" w:color="auto" w:fill="B85784"/>
            <w:vAlign w:val="center"/>
          </w:tcPr>
          <w:p w14:paraId="34EFF9A4" w14:textId="77777777" w:rsidR="00336253" w:rsidRPr="006E74E3" w:rsidRDefault="00336253" w:rsidP="00336253">
            <w:pPr>
              <w:pStyle w:val="TableParagraph"/>
              <w:ind w:right="-10"/>
              <w:jc w:val="center"/>
              <w:rPr>
                <w:rFonts w:ascii="IBM Plex Sans Medm" w:hAnsi="IBM Plex Sans Medm"/>
                <w:b/>
                <w:bCs/>
                <w:sz w:val="19"/>
              </w:rPr>
            </w:pPr>
            <w:r w:rsidRPr="006E74E3">
              <w:rPr>
                <w:rFonts w:ascii="IBM Plex Sans Medm" w:hAnsi="IBM Plex Sans Medm"/>
                <w:b/>
                <w:bCs/>
                <w:color w:val="FFFFFF"/>
                <w:sz w:val="19"/>
              </w:rPr>
              <w:t>Denominator</w:t>
            </w:r>
          </w:p>
        </w:tc>
        <w:tc>
          <w:tcPr>
            <w:tcW w:w="2160" w:type="dxa"/>
            <w:tcBorders>
              <w:left w:val="single" w:sz="4" w:space="0" w:color="E3E4E7"/>
              <w:bottom w:val="nil"/>
              <w:right w:val="single" w:sz="4" w:space="0" w:color="E3E4E7"/>
            </w:tcBorders>
            <w:shd w:val="clear" w:color="auto" w:fill="B85784"/>
          </w:tcPr>
          <w:p w14:paraId="79968C99" w14:textId="77777777" w:rsidR="00336253" w:rsidRPr="006E74E3" w:rsidRDefault="00336253" w:rsidP="00DD2067">
            <w:pPr>
              <w:pStyle w:val="TableParagraph"/>
              <w:ind w:left="48"/>
              <w:jc w:val="center"/>
              <w:rPr>
                <w:rFonts w:ascii="IBM Plex Sans Medm" w:hAnsi="IBM Plex Sans Medm"/>
                <w:b/>
                <w:bCs/>
                <w:color w:val="FFFFFF"/>
                <w:sz w:val="19"/>
              </w:rPr>
            </w:pPr>
          </w:p>
        </w:tc>
        <w:tc>
          <w:tcPr>
            <w:tcW w:w="1440" w:type="dxa"/>
            <w:tcBorders>
              <w:left w:val="single" w:sz="4" w:space="0" w:color="E3E4E7"/>
              <w:bottom w:val="nil"/>
            </w:tcBorders>
            <w:shd w:val="clear" w:color="auto" w:fill="B85784"/>
            <w:vAlign w:val="center"/>
          </w:tcPr>
          <w:p w14:paraId="7548D214" w14:textId="66161E55" w:rsidR="00336253" w:rsidRPr="006E74E3" w:rsidRDefault="00336253" w:rsidP="00DD2067">
            <w:pPr>
              <w:pStyle w:val="TableParagraph"/>
              <w:ind w:left="48"/>
              <w:jc w:val="center"/>
              <w:rPr>
                <w:rFonts w:ascii="IBM Plex Sans Medm" w:hAnsi="IBM Plex Sans Medm"/>
                <w:b/>
                <w:bCs/>
                <w:sz w:val="19"/>
              </w:rPr>
            </w:pPr>
            <w:r w:rsidRPr="006E74E3">
              <w:rPr>
                <w:rFonts w:ascii="IBM Plex Sans Medm" w:hAnsi="IBM Plex Sans Medm"/>
                <w:b/>
                <w:bCs/>
                <w:color w:val="FFFFFF"/>
                <w:sz w:val="19"/>
              </w:rPr>
              <w:t>%</w:t>
            </w:r>
          </w:p>
        </w:tc>
      </w:tr>
      <w:tr w:rsidR="00336253" w:rsidRPr="002458E5" w14:paraId="0DD70B07" w14:textId="77777777" w:rsidTr="00336253">
        <w:trPr>
          <w:trHeight w:val="2054"/>
        </w:trPr>
        <w:tc>
          <w:tcPr>
            <w:tcW w:w="823" w:type="dxa"/>
            <w:tcBorders>
              <w:top w:val="nil"/>
              <w:bottom w:val="single" w:sz="4" w:space="0" w:color="AFB5BF"/>
              <w:right w:val="single" w:sz="4" w:space="0" w:color="AFB5BF"/>
            </w:tcBorders>
            <w:vAlign w:val="center"/>
          </w:tcPr>
          <w:p w14:paraId="581625B8" w14:textId="5CF511EE" w:rsidR="00336253" w:rsidRPr="009B0664" w:rsidRDefault="00336253" w:rsidP="00DD2067">
            <w:pPr>
              <w:pStyle w:val="TableParagraph"/>
              <w:jc w:val="center"/>
              <w:rPr>
                <w:rFonts w:ascii="IBM Plex Sans" w:hAnsi="IBM Plex Sans"/>
                <w:color w:val="B85784"/>
                <w:sz w:val="36"/>
              </w:rPr>
            </w:pPr>
            <w:r>
              <w:rPr>
                <w:rFonts w:ascii="IBM Plex Sans" w:hAnsi="IBM Plex Sans"/>
                <w:color w:val="B85784"/>
                <w:sz w:val="36"/>
              </w:rPr>
              <w:t>9</w:t>
            </w:r>
          </w:p>
        </w:tc>
        <w:tc>
          <w:tcPr>
            <w:tcW w:w="1793" w:type="dxa"/>
            <w:tcBorders>
              <w:top w:val="nil"/>
              <w:left w:val="single" w:sz="4" w:space="0" w:color="AFB5BF"/>
              <w:bottom w:val="single" w:sz="4" w:space="0" w:color="AFB5BF"/>
              <w:right w:val="single" w:sz="4" w:space="0" w:color="AFB5BF"/>
            </w:tcBorders>
            <w:vAlign w:val="center"/>
          </w:tcPr>
          <w:p w14:paraId="64B1F37C" w14:textId="60700357" w:rsidR="00336253" w:rsidRPr="009B0664" w:rsidRDefault="00336253" w:rsidP="00336253">
            <w:pPr>
              <w:pStyle w:val="TableParagraph"/>
              <w:ind w:left="99" w:right="243"/>
              <w:jc w:val="center"/>
              <w:rPr>
                <w:rFonts w:ascii="IBM Plex Sans Medm" w:hAnsi="IBM Plex Sans Medm"/>
                <w:color w:val="8C3B61"/>
                <w:sz w:val="19"/>
              </w:rPr>
            </w:pPr>
            <w:r>
              <w:rPr>
                <w:rFonts w:ascii="IBM Plex Sans Medm" w:hAnsi="IBM Plex Sans Medm"/>
                <w:color w:val="8C3B61"/>
                <w:sz w:val="19"/>
              </w:rPr>
              <w:t>Rate of Deaths by Suicide Among All Patients</w:t>
            </w:r>
          </w:p>
        </w:tc>
        <w:tc>
          <w:tcPr>
            <w:tcW w:w="2446" w:type="dxa"/>
            <w:tcBorders>
              <w:top w:val="nil"/>
              <w:left w:val="single" w:sz="4" w:space="0" w:color="AFB5BF"/>
              <w:bottom w:val="single" w:sz="4" w:space="0" w:color="AFB5BF"/>
              <w:right w:val="single" w:sz="4" w:space="0" w:color="AFB5BF"/>
            </w:tcBorders>
            <w:vAlign w:val="center"/>
          </w:tcPr>
          <w:p w14:paraId="19D6CE9D" w14:textId="0AA8DDD2" w:rsidR="00336253" w:rsidRPr="009B0664" w:rsidRDefault="00336253" w:rsidP="00DD2067">
            <w:pPr>
              <w:pStyle w:val="TableParagraph"/>
              <w:ind w:left="194" w:right="340"/>
              <w:jc w:val="center"/>
              <w:rPr>
                <w:rFonts w:ascii="IBM Plex Sans" w:hAnsi="IBM Plex Sans"/>
                <w:color w:val="121212"/>
                <w:sz w:val="19"/>
              </w:rPr>
            </w:pPr>
            <w:r>
              <w:rPr>
                <w:rFonts w:ascii="IBM Plex Sans" w:hAnsi="IBM Plex Sans"/>
                <w:color w:val="121212"/>
                <w:sz w:val="19"/>
              </w:rPr>
              <w:t>Number of patients who died by suicide during the reporting period</w:t>
            </w:r>
          </w:p>
        </w:tc>
        <w:tc>
          <w:tcPr>
            <w:tcW w:w="1800" w:type="dxa"/>
            <w:tcBorders>
              <w:top w:val="nil"/>
              <w:left w:val="single" w:sz="4" w:space="0" w:color="AFB5BF"/>
              <w:bottom w:val="single" w:sz="4" w:space="0" w:color="AFB5BF"/>
              <w:right w:val="single" w:sz="4" w:space="0" w:color="AFB5BF"/>
            </w:tcBorders>
            <w:vAlign w:val="center"/>
          </w:tcPr>
          <w:p w14:paraId="60C12C75" w14:textId="77777777" w:rsidR="00336253" w:rsidRPr="009B0664" w:rsidRDefault="00336253" w:rsidP="00DD2067">
            <w:pPr>
              <w:pStyle w:val="TableParagraph"/>
              <w:jc w:val="center"/>
              <w:rPr>
                <w:rFonts w:ascii="IBM Plex Sans" w:hAnsi="IBM Plex Sans"/>
                <w:color w:val="121212"/>
                <w:sz w:val="18"/>
              </w:rPr>
            </w:pPr>
          </w:p>
        </w:tc>
        <w:tc>
          <w:tcPr>
            <w:tcW w:w="2430" w:type="dxa"/>
            <w:tcBorders>
              <w:top w:val="nil"/>
              <w:left w:val="single" w:sz="4" w:space="0" w:color="AFB5BF"/>
              <w:bottom w:val="single" w:sz="4" w:space="0" w:color="AFB5BF"/>
              <w:right w:val="single" w:sz="4" w:space="0" w:color="AFB5BF"/>
            </w:tcBorders>
            <w:vAlign w:val="center"/>
          </w:tcPr>
          <w:p w14:paraId="6DD37305" w14:textId="77777777" w:rsidR="00336253" w:rsidRPr="009B0664" w:rsidRDefault="00336253" w:rsidP="00DD2067">
            <w:pPr>
              <w:pStyle w:val="TableParagraph"/>
              <w:ind w:left="185" w:right="248" w:firstLine="7"/>
              <w:jc w:val="center"/>
              <w:rPr>
                <w:rFonts w:ascii="IBM Plex Sans" w:hAnsi="IBM Plex Sans"/>
                <w:color w:val="121212"/>
                <w:sz w:val="19"/>
              </w:rPr>
            </w:pPr>
            <w:r w:rsidRPr="009B0664">
              <w:rPr>
                <w:rFonts w:ascii="IBM Plex Sans" w:hAnsi="IBM Plex Sans"/>
                <w:color w:val="121212"/>
                <w:sz w:val="19"/>
              </w:rPr>
              <w:t>Total number of missed appointments by patients determined to be at elevated risk of suicide during the reporting period</w:t>
            </w:r>
          </w:p>
        </w:tc>
        <w:tc>
          <w:tcPr>
            <w:tcW w:w="1350" w:type="dxa"/>
            <w:tcBorders>
              <w:top w:val="nil"/>
              <w:left w:val="single" w:sz="4" w:space="0" w:color="AFB5BF"/>
              <w:bottom w:val="single" w:sz="4" w:space="0" w:color="AFB5BF"/>
              <w:right w:val="single" w:sz="4" w:space="0" w:color="AFB5BF"/>
            </w:tcBorders>
            <w:vAlign w:val="center"/>
          </w:tcPr>
          <w:p w14:paraId="403B4428" w14:textId="77777777"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(Numerator/</w:t>
            </w:r>
          </w:p>
          <w:p w14:paraId="26250830" w14:textId="77777777"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 xml:space="preserve">Denominator) </w:t>
            </w:r>
          </w:p>
          <w:p w14:paraId="63F083F2" w14:textId="3CB27AFD" w:rsidR="00336253" w:rsidRPr="009B0664" w:rsidRDefault="00336253" w:rsidP="00DD2067">
            <w:pPr>
              <w:pStyle w:val="TableParagraph"/>
              <w:jc w:val="center"/>
              <w:rPr>
                <w:rFonts w:ascii="IBM Plex Sans" w:hAnsi="IBM Plex Sans"/>
                <w:color w:val="121212"/>
                <w:sz w:val="18"/>
              </w:rPr>
            </w:pPr>
            <w:r>
              <w:rPr>
                <w:rFonts w:ascii="IBM Plex Sans" w:hAnsi="IBM Plex Sans"/>
                <w:color w:val="121212"/>
                <w:sz w:val="18"/>
              </w:rPr>
              <w:t>x 10,000</w:t>
            </w:r>
          </w:p>
        </w:tc>
        <w:tc>
          <w:tcPr>
            <w:tcW w:w="2160" w:type="dxa"/>
            <w:tcBorders>
              <w:top w:val="nil"/>
              <w:left w:val="single" w:sz="4" w:space="0" w:color="AFB5BF"/>
              <w:bottom w:val="single" w:sz="4" w:space="0" w:color="AFB5BF"/>
              <w:right w:val="single" w:sz="4" w:space="0" w:color="AFB5BF"/>
            </w:tcBorders>
          </w:tcPr>
          <w:p w14:paraId="5EA80250" w14:textId="77777777" w:rsidR="00336253" w:rsidRDefault="00336253" w:rsidP="00DD2067">
            <w:pPr>
              <w:pStyle w:val="TableParagraph"/>
              <w:jc w:val="center"/>
              <w:rPr>
                <w:rFonts w:ascii="IBM Plex Sans" w:hAnsi="IBM Plex Sans"/>
                <w:color w:val="121212"/>
                <w:sz w:val="18"/>
              </w:rPr>
            </w:pPr>
          </w:p>
        </w:tc>
        <w:tc>
          <w:tcPr>
            <w:tcW w:w="1440" w:type="dxa"/>
            <w:tcBorders>
              <w:top w:val="nil"/>
              <w:left w:val="single" w:sz="4" w:space="0" w:color="AFB5BF"/>
              <w:bottom w:val="single" w:sz="4" w:space="0" w:color="AFB5BF"/>
            </w:tcBorders>
            <w:vAlign w:val="center"/>
          </w:tcPr>
          <w:p w14:paraId="3F1D787F" w14:textId="6439279D"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 xml:space="preserve">per 10,000 </w:t>
            </w:r>
          </w:p>
          <w:p w14:paraId="1D02C1F1" w14:textId="32E966E7" w:rsidR="00336253" w:rsidRPr="009B0664" w:rsidRDefault="00336253" w:rsidP="00DD2067">
            <w:pPr>
              <w:pStyle w:val="TableParagraph"/>
              <w:jc w:val="center"/>
              <w:rPr>
                <w:rFonts w:ascii="IBM Plex Sans" w:hAnsi="IBM Plex Sans"/>
                <w:color w:val="121212"/>
                <w:sz w:val="18"/>
              </w:rPr>
            </w:pPr>
            <w:r>
              <w:rPr>
                <w:rFonts w:ascii="IBM Plex Sans" w:hAnsi="IBM Plex Sans"/>
                <w:color w:val="121212"/>
                <w:sz w:val="18"/>
              </w:rPr>
              <w:t>population</w:t>
            </w:r>
          </w:p>
        </w:tc>
      </w:tr>
      <w:tr w:rsidR="00336253" w:rsidRPr="002458E5" w14:paraId="113AB207" w14:textId="77777777" w:rsidTr="00336253">
        <w:trPr>
          <w:trHeight w:val="2031"/>
        </w:trPr>
        <w:tc>
          <w:tcPr>
            <w:tcW w:w="823" w:type="dxa"/>
            <w:tcBorders>
              <w:top w:val="single" w:sz="4" w:space="0" w:color="AFB5BF"/>
              <w:bottom w:val="single" w:sz="4" w:space="0" w:color="AFB5BF"/>
              <w:right w:val="single" w:sz="4" w:space="0" w:color="AFB5BF"/>
            </w:tcBorders>
            <w:vAlign w:val="center"/>
          </w:tcPr>
          <w:p w14:paraId="0DCEC22B" w14:textId="486E6368" w:rsidR="00336253" w:rsidRPr="009B0664" w:rsidRDefault="00336253" w:rsidP="00DD2067">
            <w:pPr>
              <w:pStyle w:val="TableParagraph"/>
              <w:jc w:val="center"/>
              <w:rPr>
                <w:rFonts w:ascii="IBM Plex Sans" w:hAnsi="IBM Plex Sans"/>
                <w:color w:val="B85784"/>
                <w:sz w:val="36"/>
              </w:rPr>
            </w:pPr>
            <w:r>
              <w:rPr>
                <w:rFonts w:ascii="IBM Plex Sans" w:hAnsi="IBM Plex Sans"/>
                <w:color w:val="B85784"/>
                <w:sz w:val="36"/>
              </w:rPr>
              <w:t>10</w:t>
            </w:r>
          </w:p>
        </w:tc>
        <w:tc>
          <w:tcPr>
            <w:tcW w:w="1793" w:type="dxa"/>
            <w:tcBorders>
              <w:top w:val="single" w:sz="4" w:space="0" w:color="AFB5BF"/>
              <w:left w:val="single" w:sz="4" w:space="0" w:color="AFB5BF"/>
              <w:bottom w:val="single" w:sz="4" w:space="0" w:color="AFB5BF"/>
              <w:right w:val="single" w:sz="4" w:space="0" w:color="AFB5BF"/>
            </w:tcBorders>
            <w:vAlign w:val="center"/>
          </w:tcPr>
          <w:p w14:paraId="05779836" w14:textId="21D729A2" w:rsidR="00336253" w:rsidRPr="009B0664" w:rsidRDefault="00336253" w:rsidP="00336253">
            <w:pPr>
              <w:pStyle w:val="TableParagraph"/>
              <w:ind w:left="99" w:right="243"/>
              <w:jc w:val="center"/>
              <w:rPr>
                <w:rFonts w:ascii="IBM Plex Sans Medm" w:hAnsi="IBM Plex Sans Medm"/>
                <w:color w:val="8C3B61"/>
                <w:sz w:val="19"/>
              </w:rPr>
            </w:pPr>
            <w:r w:rsidRPr="00336253">
              <w:rPr>
                <w:rFonts w:ascii="IBM Plex Sans Medm" w:hAnsi="IBM Plex Sans Medm"/>
                <w:color w:val="8C3B61"/>
                <w:sz w:val="19"/>
              </w:rPr>
              <w:t>Rate o</w:t>
            </w:r>
            <w:r>
              <w:rPr>
                <w:rFonts w:ascii="IBM Plex Sans Medm" w:hAnsi="IBM Plex Sans Medm"/>
                <w:color w:val="8C3B61"/>
                <w:sz w:val="19"/>
              </w:rPr>
              <w:t>f Suicide Deaths Among Those with Identified Suicide Risk</w:t>
            </w:r>
          </w:p>
        </w:tc>
        <w:tc>
          <w:tcPr>
            <w:tcW w:w="2446" w:type="dxa"/>
            <w:tcBorders>
              <w:top w:val="single" w:sz="4" w:space="0" w:color="AFB5BF"/>
              <w:left w:val="single" w:sz="4" w:space="0" w:color="AFB5BF"/>
              <w:bottom w:val="single" w:sz="4" w:space="0" w:color="AFB5BF"/>
              <w:right w:val="single" w:sz="4" w:space="0" w:color="AFB5BF"/>
            </w:tcBorders>
            <w:vAlign w:val="center"/>
          </w:tcPr>
          <w:p w14:paraId="58170736" w14:textId="4D29C5C7" w:rsidR="00336253" w:rsidRPr="009B0664" w:rsidRDefault="00336253" w:rsidP="00DD2067">
            <w:pPr>
              <w:pStyle w:val="TableParagraph"/>
              <w:ind w:left="194" w:right="340"/>
              <w:jc w:val="center"/>
              <w:rPr>
                <w:rFonts w:ascii="IBM Plex Sans" w:hAnsi="IBM Plex Sans"/>
                <w:color w:val="121212"/>
                <w:sz w:val="19"/>
              </w:rPr>
            </w:pPr>
            <w:r>
              <w:rPr>
                <w:rFonts w:ascii="IBM Plex Sans" w:hAnsi="IBM Plex Sans"/>
                <w:color w:val="121212"/>
                <w:sz w:val="19"/>
              </w:rPr>
              <w:t>Number of patients with a suicide care management plan who died by suicide during the reporting period</w:t>
            </w:r>
          </w:p>
        </w:tc>
        <w:tc>
          <w:tcPr>
            <w:tcW w:w="1800" w:type="dxa"/>
            <w:tcBorders>
              <w:top w:val="single" w:sz="4" w:space="0" w:color="AFB5BF"/>
              <w:left w:val="single" w:sz="4" w:space="0" w:color="AFB5BF"/>
              <w:bottom w:val="single" w:sz="4" w:space="0" w:color="AFB5BF"/>
              <w:right w:val="single" w:sz="4" w:space="0" w:color="AFB5BF"/>
            </w:tcBorders>
            <w:vAlign w:val="center"/>
          </w:tcPr>
          <w:p w14:paraId="067C9A48" w14:textId="77777777" w:rsidR="00336253" w:rsidRPr="009B0664" w:rsidRDefault="00336253" w:rsidP="00DD2067">
            <w:pPr>
              <w:pStyle w:val="TableParagraph"/>
              <w:jc w:val="center"/>
              <w:rPr>
                <w:rFonts w:ascii="IBM Plex Sans" w:hAnsi="IBM Plex Sans"/>
                <w:color w:val="121212"/>
                <w:sz w:val="18"/>
              </w:rPr>
            </w:pPr>
          </w:p>
        </w:tc>
        <w:tc>
          <w:tcPr>
            <w:tcW w:w="2430" w:type="dxa"/>
            <w:tcBorders>
              <w:top w:val="single" w:sz="4" w:space="0" w:color="AFB5BF"/>
              <w:left w:val="single" w:sz="4" w:space="0" w:color="AFB5BF"/>
              <w:bottom w:val="single" w:sz="4" w:space="0" w:color="AFB5BF"/>
              <w:right w:val="single" w:sz="4" w:space="0" w:color="AFB5BF"/>
            </w:tcBorders>
            <w:vAlign w:val="center"/>
          </w:tcPr>
          <w:p w14:paraId="753772B3" w14:textId="77777777" w:rsidR="00336253" w:rsidRPr="009B0664" w:rsidRDefault="00336253" w:rsidP="00DD2067">
            <w:pPr>
              <w:pStyle w:val="TableParagraph"/>
              <w:ind w:left="185" w:right="199" w:firstLine="7"/>
              <w:jc w:val="center"/>
              <w:rPr>
                <w:rFonts w:ascii="IBM Plex Sans" w:hAnsi="IBM Plex Sans"/>
                <w:color w:val="121212"/>
                <w:sz w:val="19"/>
              </w:rPr>
            </w:pPr>
            <w:r w:rsidRPr="009B0664">
              <w:rPr>
                <w:rFonts w:ascii="IBM Plex Sans" w:hAnsi="IBM Plex Sans"/>
                <w:color w:val="121212"/>
                <w:sz w:val="19"/>
              </w:rPr>
              <w:t>Number of patients determined to be at elevated risk at separation (i.e., discharge, referral, transfer) during the reporting period</w:t>
            </w:r>
          </w:p>
        </w:tc>
        <w:tc>
          <w:tcPr>
            <w:tcW w:w="1350" w:type="dxa"/>
            <w:tcBorders>
              <w:top w:val="single" w:sz="4" w:space="0" w:color="AFB5BF"/>
              <w:left w:val="single" w:sz="4" w:space="0" w:color="AFB5BF"/>
              <w:bottom w:val="single" w:sz="4" w:space="0" w:color="AFB5BF"/>
              <w:right w:val="single" w:sz="4" w:space="0" w:color="AFB5BF"/>
            </w:tcBorders>
            <w:vAlign w:val="center"/>
          </w:tcPr>
          <w:p w14:paraId="18A63271" w14:textId="77777777"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(Numerator/</w:t>
            </w:r>
          </w:p>
          <w:p w14:paraId="3AE17478" w14:textId="77777777"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 xml:space="preserve">Denominator) </w:t>
            </w:r>
          </w:p>
          <w:p w14:paraId="6B384638" w14:textId="3AE9EACC" w:rsidR="00336253" w:rsidRPr="009B0664" w:rsidRDefault="00336253" w:rsidP="00DD2067">
            <w:pPr>
              <w:pStyle w:val="TableParagraph"/>
              <w:jc w:val="center"/>
              <w:rPr>
                <w:rFonts w:ascii="IBM Plex Sans" w:hAnsi="IBM Plex Sans"/>
                <w:color w:val="121212"/>
                <w:sz w:val="18"/>
              </w:rPr>
            </w:pPr>
            <w:r>
              <w:rPr>
                <w:rFonts w:ascii="IBM Plex Sans" w:hAnsi="IBM Plex Sans"/>
                <w:color w:val="121212"/>
                <w:sz w:val="18"/>
              </w:rPr>
              <w:t>x 10,000</w:t>
            </w:r>
          </w:p>
        </w:tc>
        <w:tc>
          <w:tcPr>
            <w:tcW w:w="2160" w:type="dxa"/>
            <w:tcBorders>
              <w:top w:val="single" w:sz="4" w:space="0" w:color="AFB5BF"/>
              <w:left w:val="single" w:sz="4" w:space="0" w:color="AFB5BF"/>
              <w:bottom w:val="single" w:sz="4" w:space="0" w:color="AFB5BF"/>
              <w:right w:val="single" w:sz="4" w:space="0" w:color="AFB5BF"/>
            </w:tcBorders>
          </w:tcPr>
          <w:p w14:paraId="7D1D56EC" w14:textId="77777777" w:rsidR="00336253" w:rsidRDefault="00336253" w:rsidP="00DD2067">
            <w:pPr>
              <w:pStyle w:val="TableParagraph"/>
              <w:jc w:val="center"/>
              <w:rPr>
                <w:rFonts w:ascii="IBM Plex Sans" w:hAnsi="IBM Plex Sans"/>
                <w:color w:val="121212"/>
                <w:sz w:val="18"/>
              </w:rPr>
            </w:pPr>
          </w:p>
        </w:tc>
        <w:tc>
          <w:tcPr>
            <w:tcW w:w="1440" w:type="dxa"/>
            <w:tcBorders>
              <w:top w:val="single" w:sz="4" w:space="0" w:color="AFB5BF"/>
              <w:left w:val="single" w:sz="4" w:space="0" w:color="AFB5BF"/>
              <w:bottom w:val="single" w:sz="4" w:space="0" w:color="AFB5BF"/>
            </w:tcBorders>
            <w:vAlign w:val="center"/>
          </w:tcPr>
          <w:p w14:paraId="06D1958D" w14:textId="5BB9E63E" w:rsidR="00336253" w:rsidRDefault="00336253" w:rsidP="00DD2067">
            <w:pPr>
              <w:pStyle w:val="TableParagraph"/>
              <w:jc w:val="center"/>
              <w:rPr>
                <w:rFonts w:ascii="IBM Plex Sans" w:hAnsi="IBM Plex Sans"/>
                <w:color w:val="121212"/>
                <w:sz w:val="18"/>
              </w:rPr>
            </w:pPr>
            <w:r>
              <w:rPr>
                <w:rFonts w:ascii="IBM Plex Sans" w:hAnsi="IBM Plex Sans"/>
                <w:color w:val="121212"/>
                <w:sz w:val="18"/>
              </w:rPr>
              <w:t xml:space="preserve">per 10,000 </w:t>
            </w:r>
          </w:p>
          <w:p w14:paraId="68EAC2A9" w14:textId="68A46C09" w:rsidR="00336253" w:rsidRPr="009B0664" w:rsidRDefault="00336253" w:rsidP="00DD2067">
            <w:pPr>
              <w:pStyle w:val="TableParagraph"/>
              <w:jc w:val="center"/>
              <w:rPr>
                <w:rFonts w:ascii="IBM Plex Sans" w:hAnsi="IBM Plex Sans"/>
                <w:color w:val="121212"/>
                <w:sz w:val="18"/>
              </w:rPr>
            </w:pPr>
            <w:r>
              <w:rPr>
                <w:rFonts w:ascii="IBM Plex Sans" w:hAnsi="IBM Plex Sans"/>
                <w:color w:val="121212"/>
                <w:sz w:val="18"/>
              </w:rPr>
              <w:t>population</w:t>
            </w:r>
          </w:p>
        </w:tc>
      </w:tr>
    </w:tbl>
    <w:p w14:paraId="39CD3F2C" w14:textId="77777777" w:rsidR="0077376B" w:rsidRPr="002458E5" w:rsidRDefault="0077376B" w:rsidP="00561FBB">
      <w:pPr>
        <w:rPr>
          <w:rFonts w:ascii="IBM Plex Sans" w:hAnsi="IBM Plex Sans"/>
          <w:sz w:val="19"/>
        </w:rPr>
        <w:sectPr w:rsidR="0077376B" w:rsidRPr="002458E5">
          <w:pgSz w:w="15840" w:h="12240" w:orient="landscape"/>
          <w:pgMar w:top="1080" w:right="0" w:bottom="740" w:left="0" w:header="0" w:footer="556" w:gutter="0"/>
          <w:cols w:space="720"/>
        </w:sectPr>
      </w:pPr>
    </w:p>
    <w:p w14:paraId="2E1E8B2F" w14:textId="61D515BE" w:rsidR="007033FE" w:rsidRPr="006E74E3" w:rsidRDefault="00741200" w:rsidP="006E74E3">
      <w:pPr>
        <w:pStyle w:val="Heading1"/>
        <w:spacing w:after="240"/>
        <w:rPr>
          <w:rFonts w:ascii="IBM Plex Sans Medm" w:hAnsi="IBM Plex Sans Medm"/>
          <w:color w:val="8C3B61"/>
          <w:sz w:val="28"/>
          <w:szCs w:val="28"/>
        </w:rPr>
      </w:pPr>
      <w:r w:rsidRPr="006E74E3">
        <w:rPr>
          <w:rFonts w:ascii="IBM Plex Sans Medm" w:hAnsi="IBM Plex Sans Medm"/>
          <w:color w:val="8C3B61"/>
          <w:sz w:val="28"/>
          <w:szCs w:val="28"/>
        </w:rPr>
        <w:lastRenderedPageBreak/>
        <w:t>Supplemental Measures for Consideration</w:t>
      </w:r>
    </w:p>
    <w:tbl>
      <w:tblPr>
        <w:tblW w:w="0" w:type="auto"/>
        <w:tblInd w:w="765" w:type="dxa"/>
        <w:tblBorders>
          <w:top w:val="single" w:sz="18" w:space="0" w:color="E3E4E7"/>
          <w:left w:val="single" w:sz="18" w:space="0" w:color="E3E4E7"/>
          <w:bottom w:val="single" w:sz="18" w:space="0" w:color="E3E4E7"/>
          <w:right w:val="single" w:sz="18" w:space="0" w:color="E3E4E7"/>
          <w:insideH w:val="single" w:sz="18" w:space="0" w:color="E3E4E7"/>
          <w:insideV w:val="single" w:sz="18" w:space="0" w:color="E3E4E7"/>
        </w:tblBorders>
        <w:tblLayout w:type="fixed"/>
        <w:tblCellMar>
          <w:left w:w="0" w:type="dxa"/>
          <w:right w:w="0" w:type="dxa"/>
        </w:tblCellMar>
        <w:tblLook w:val="01E0" w:firstRow="1" w:lastRow="1" w:firstColumn="1" w:lastColumn="1" w:noHBand="0" w:noVBand="0"/>
      </w:tblPr>
      <w:tblGrid>
        <w:gridCol w:w="823"/>
        <w:gridCol w:w="1793"/>
        <w:gridCol w:w="3327"/>
        <w:gridCol w:w="1729"/>
        <w:gridCol w:w="3615"/>
        <w:gridCol w:w="1515"/>
        <w:gridCol w:w="1440"/>
      </w:tblGrid>
      <w:tr w:rsidR="007033FE" w:rsidRPr="009B0664" w14:paraId="147B8BDD" w14:textId="77777777" w:rsidTr="006E74E3">
        <w:trPr>
          <w:trHeight w:val="442"/>
        </w:trPr>
        <w:tc>
          <w:tcPr>
            <w:tcW w:w="823" w:type="dxa"/>
            <w:tcBorders>
              <w:bottom w:val="nil"/>
              <w:right w:val="single" w:sz="4" w:space="0" w:color="AFB5BF"/>
            </w:tcBorders>
            <w:shd w:val="clear" w:color="auto" w:fill="B85784"/>
            <w:vAlign w:val="center"/>
          </w:tcPr>
          <w:p w14:paraId="41C106A2" w14:textId="77777777" w:rsidR="007033FE" w:rsidRPr="002458E5" w:rsidRDefault="007033FE" w:rsidP="00DD2067">
            <w:pPr>
              <w:pStyle w:val="TableParagraph"/>
              <w:jc w:val="center"/>
              <w:rPr>
                <w:rFonts w:ascii="IBM Plex Sans" w:hAnsi="IBM Plex Sans"/>
                <w:sz w:val="18"/>
              </w:rPr>
            </w:pPr>
          </w:p>
        </w:tc>
        <w:tc>
          <w:tcPr>
            <w:tcW w:w="1793" w:type="dxa"/>
            <w:tcBorders>
              <w:left w:val="single" w:sz="4" w:space="0" w:color="AFB5BF"/>
              <w:bottom w:val="nil"/>
              <w:right w:val="single" w:sz="4" w:space="0" w:color="AFB5BF"/>
            </w:tcBorders>
            <w:shd w:val="clear" w:color="auto" w:fill="B85784"/>
            <w:vAlign w:val="center"/>
          </w:tcPr>
          <w:p w14:paraId="2528592F" w14:textId="77777777" w:rsidR="007033FE" w:rsidRPr="006E74E3" w:rsidRDefault="007033FE" w:rsidP="00DD2067">
            <w:pPr>
              <w:pStyle w:val="TableParagraph"/>
              <w:jc w:val="center"/>
              <w:rPr>
                <w:rFonts w:ascii="IBM Plex Sans Medm" w:hAnsi="IBM Plex Sans Medm"/>
                <w:b/>
                <w:bCs/>
                <w:sz w:val="19"/>
              </w:rPr>
            </w:pPr>
            <w:r w:rsidRPr="006E74E3">
              <w:rPr>
                <w:rFonts w:ascii="IBM Plex Sans Medm" w:hAnsi="IBM Plex Sans Medm"/>
                <w:b/>
                <w:bCs/>
                <w:color w:val="FFFFFF"/>
                <w:sz w:val="19"/>
              </w:rPr>
              <w:t>Measure</w:t>
            </w:r>
          </w:p>
        </w:tc>
        <w:tc>
          <w:tcPr>
            <w:tcW w:w="5056" w:type="dxa"/>
            <w:gridSpan w:val="2"/>
            <w:tcBorders>
              <w:left w:val="single" w:sz="4" w:space="0" w:color="AFB5BF"/>
              <w:bottom w:val="nil"/>
              <w:right w:val="single" w:sz="4" w:space="0" w:color="AFB5BF"/>
            </w:tcBorders>
            <w:shd w:val="clear" w:color="auto" w:fill="B85784"/>
            <w:vAlign w:val="center"/>
          </w:tcPr>
          <w:p w14:paraId="17F21BDF" w14:textId="77777777" w:rsidR="007033FE" w:rsidRPr="006E74E3" w:rsidRDefault="007033FE" w:rsidP="00DD2067">
            <w:pPr>
              <w:pStyle w:val="TableParagraph"/>
              <w:ind w:right="2035"/>
              <w:jc w:val="center"/>
              <w:rPr>
                <w:rFonts w:ascii="IBM Plex Sans Medm" w:hAnsi="IBM Plex Sans Medm"/>
                <w:b/>
                <w:bCs/>
                <w:sz w:val="19"/>
              </w:rPr>
            </w:pPr>
            <w:r w:rsidRPr="006E74E3">
              <w:rPr>
                <w:rFonts w:ascii="IBM Plex Sans Medm" w:hAnsi="IBM Plex Sans Medm"/>
                <w:b/>
                <w:bCs/>
                <w:color w:val="FFFFFF"/>
                <w:sz w:val="19"/>
              </w:rPr>
              <w:t>Numerator</w:t>
            </w:r>
          </w:p>
        </w:tc>
        <w:tc>
          <w:tcPr>
            <w:tcW w:w="5130" w:type="dxa"/>
            <w:gridSpan w:val="2"/>
            <w:tcBorders>
              <w:left w:val="single" w:sz="4" w:space="0" w:color="AFB5BF"/>
              <w:bottom w:val="nil"/>
              <w:right w:val="single" w:sz="4" w:space="0" w:color="E3E4E7"/>
            </w:tcBorders>
            <w:shd w:val="clear" w:color="auto" w:fill="B85784"/>
            <w:vAlign w:val="center"/>
          </w:tcPr>
          <w:p w14:paraId="3E23EB8A" w14:textId="77777777" w:rsidR="007033FE" w:rsidRPr="006E74E3" w:rsidRDefault="007033FE" w:rsidP="00DD2067">
            <w:pPr>
              <w:pStyle w:val="TableParagraph"/>
              <w:ind w:right="2086"/>
              <w:jc w:val="center"/>
              <w:rPr>
                <w:rFonts w:ascii="IBM Plex Sans Medm" w:hAnsi="IBM Plex Sans Medm"/>
                <w:b/>
                <w:bCs/>
                <w:sz w:val="19"/>
              </w:rPr>
            </w:pPr>
            <w:r w:rsidRPr="006E74E3">
              <w:rPr>
                <w:rFonts w:ascii="IBM Plex Sans Medm" w:hAnsi="IBM Plex Sans Medm"/>
                <w:b/>
                <w:bCs/>
                <w:color w:val="FFFFFF"/>
                <w:sz w:val="19"/>
              </w:rPr>
              <w:t>Denominator</w:t>
            </w:r>
          </w:p>
        </w:tc>
        <w:tc>
          <w:tcPr>
            <w:tcW w:w="1440" w:type="dxa"/>
            <w:tcBorders>
              <w:left w:val="single" w:sz="4" w:space="0" w:color="E3E4E7"/>
              <w:bottom w:val="nil"/>
            </w:tcBorders>
            <w:shd w:val="clear" w:color="auto" w:fill="B85784"/>
            <w:vAlign w:val="center"/>
          </w:tcPr>
          <w:p w14:paraId="030FE973" w14:textId="77777777" w:rsidR="007033FE" w:rsidRPr="006E74E3" w:rsidRDefault="007033FE" w:rsidP="00DD2067">
            <w:pPr>
              <w:pStyle w:val="TableParagraph"/>
              <w:ind w:left="48"/>
              <w:jc w:val="center"/>
              <w:rPr>
                <w:rFonts w:ascii="IBM Plex Sans Medm" w:hAnsi="IBM Plex Sans Medm"/>
                <w:b/>
                <w:bCs/>
                <w:sz w:val="19"/>
              </w:rPr>
            </w:pPr>
            <w:r w:rsidRPr="006E74E3">
              <w:rPr>
                <w:rFonts w:ascii="IBM Plex Sans Medm" w:hAnsi="IBM Plex Sans Medm"/>
                <w:b/>
                <w:bCs/>
                <w:color w:val="FFFFFF"/>
                <w:sz w:val="19"/>
              </w:rPr>
              <w:t>%</w:t>
            </w:r>
          </w:p>
        </w:tc>
      </w:tr>
      <w:tr w:rsidR="007033FE" w:rsidRPr="009B0664" w14:paraId="6FB0BF70" w14:textId="77777777" w:rsidTr="006E74E3">
        <w:trPr>
          <w:trHeight w:val="2054"/>
        </w:trPr>
        <w:tc>
          <w:tcPr>
            <w:tcW w:w="823" w:type="dxa"/>
            <w:tcBorders>
              <w:top w:val="nil"/>
              <w:bottom w:val="single" w:sz="4" w:space="0" w:color="AFB5BF"/>
              <w:right w:val="single" w:sz="4" w:space="0" w:color="AFB5BF"/>
            </w:tcBorders>
            <w:vAlign w:val="center"/>
          </w:tcPr>
          <w:p w14:paraId="62B161C5" w14:textId="174B4665" w:rsidR="007033FE" w:rsidRPr="009B0664" w:rsidRDefault="007033FE" w:rsidP="00DD2067">
            <w:pPr>
              <w:pStyle w:val="TableParagraph"/>
              <w:jc w:val="center"/>
              <w:rPr>
                <w:rFonts w:ascii="IBM Plex Sans" w:hAnsi="IBM Plex Sans"/>
                <w:color w:val="B85784"/>
                <w:sz w:val="36"/>
              </w:rPr>
            </w:pPr>
            <w:r>
              <w:rPr>
                <w:rFonts w:ascii="IBM Plex Sans" w:hAnsi="IBM Plex Sans"/>
                <w:color w:val="B85784"/>
                <w:sz w:val="36"/>
              </w:rPr>
              <w:t>11</w:t>
            </w:r>
          </w:p>
        </w:tc>
        <w:tc>
          <w:tcPr>
            <w:tcW w:w="1793" w:type="dxa"/>
            <w:tcBorders>
              <w:top w:val="nil"/>
              <w:left w:val="single" w:sz="4" w:space="0" w:color="AFB5BF"/>
              <w:bottom w:val="single" w:sz="4" w:space="0" w:color="AFB5BF"/>
              <w:right w:val="single" w:sz="4" w:space="0" w:color="AFB5BF"/>
            </w:tcBorders>
            <w:vAlign w:val="center"/>
          </w:tcPr>
          <w:p w14:paraId="4A00B428" w14:textId="09423299" w:rsidR="007033FE" w:rsidRPr="009B0664" w:rsidRDefault="009B0716" w:rsidP="00DD2067">
            <w:pPr>
              <w:pStyle w:val="TableParagraph"/>
              <w:ind w:right="243"/>
              <w:jc w:val="center"/>
              <w:rPr>
                <w:rFonts w:ascii="IBM Plex Sans Medm" w:hAnsi="IBM Plex Sans Medm"/>
                <w:color w:val="8C3B61"/>
                <w:sz w:val="19"/>
              </w:rPr>
            </w:pPr>
            <w:r>
              <w:rPr>
                <w:rFonts w:ascii="IBM Plex Sans Medm" w:hAnsi="IBM Plex Sans Medm"/>
                <w:color w:val="8C3B61"/>
                <w:sz w:val="19"/>
              </w:rPr>
              <w:t>Emergency Department Usage</w:t>
            </w:r>
          </w:p>
        </w:tc>
        <w:tc>
          <w:tcPr>
            <w:tcW w:w="3327" w:type="dxa"/>
            <w:tcBorders>
              <w:top w:val="nil"/>
              <w:left w:val="single" w:sz="4" w:space="0" w:color="AFB5BF"/>
              <w:bottom w:val="single" w:sz="4" w:space="0" w:color="AFB5BF"/>
              <w:right w:val="single" w:sz="4" w:space="0" w:color="AFB5BF"/>
            </w:tcBorders>
            <w:vAlign w:val="center"/>
          </w:tcPr>
          <w:p w14:paraId="180C4A76" w14:textId="6DFF0CF4" w:rsidR="007033FE" w:rsidRPr="009B0664" w:rsidRDefault="009B0716" w:rsidP="00DD2067">
            <w:pPr>
              <w:pStyle w:val="TableParagraph"/>
              <w:ind w:left="194" w:right="340"/>
              <w:jc w:val="center"/>
              <w:rPr>
                <w:rFonts w:ascii="IBM Plex Sans" w:hAnsi="IBM Plex Sans"/>
                <w:color w:val="121212"/>
                <w:sz w:val="19"/>
              </w:rPr>
            </w:pPr>
            <w:r w:rsidRPr="009B0716">
              <w:rPr>
                <w:rFonts w:ascii="IBM Plex Sans" w:hAnsi="IBM Plex Sans"/>
                <w:color w:val="121212"/>
                <w:sz w:val="19"/>
              </w:rPr>
              <w:t>Number of patients who went to the emergency department for making a suicide attempt who had a suicide care management plan during the reporting period</w:t>
            </w:r>
          </w:p>
        </w:tc>
        <w:tc>
          <w:tcPr>
            <w:tcW w:w="1729" w:type="dxa"/>
            <w:tcBorders>
              <w:top w:val="nil"/>
              <w:left w:val="single" w:sz="4" w:space="0" w:color="AFB5BF"/>
              <w:bottom w:val="single" w:sz="4" w:space="0" w:color="AFB5BF"/>
              <w:right w:val="single" w:sz="4" w:space="0" w:color="AFB5BF"/>
            </w:tcBorders>
            <w:vAlign w:val="center"/>
          </w:tcPr>
          <w:p w14:paraId="2A9141DF" w14:textId="77777777" w:rsidR="007033FE" w:rsidRPr="009B0664" w:rsidRDefault="007033FE" w:rsidP="00DD2067">
            <w:pPr>
              <w:pStyle w:val="TableParagraph"/>
              <w:jc w:val="center"/>
              <w:rPr>
                <w:rFonts w:ascii="IBM Plex Sans" w:hAnsi="IBM Plex Sans"/>
                <w:color w:val="121212"/>
                <w:sz w:val="18"/>
              </w:rPr>
            </w:pPr>
          </w:p>
        </w:tc>
        <w:tc>
          <w:tcPr>
            <w:tcW w:w="3615" w:type="dxa"/>
            <w:tcBorders>
              <w:top w:val="nil"/>
              <w:left w:val="single" w:sz="4" w:space="0" w:color="AFB5BF"/>
              <w:bottom w:val="single" w:sz="4" w:space="0" w:color="AFB5BF"/>
              <w:right w:val="single" w:sz="4" w:space="0" w:color="AFB5BF"/>
            </w:tcBorders>
            <w:vAlign w:val="center"/>
          </w:tcPr>
          <w:p w14:paraId="2198D9E9" w14:textId="0C8073CC" w:rsidR="007033FE" w:rsidRPr="009B0664" w:rsidRDefault="009B0716" w:rsidP="00DD2067">
            <w:pPr>
              <w:pStyle w:val="TableParagraph"/>
              <w:ind w:left="185" w:right="248" w:firstLine="7"/>
              <w:jc w:val="center"/>
              <w:rPr>
                <w:rFonts w:ascii="IBM Plex Sans" w:hAnsi="IBM Plex Sans"/>
                <w:color w:val="121212"/>
                <w:sz w:val="19"/>
              </w:rPr>
            </w:pPr>
            <w:r w:rsidRPr="009B0716">
              <w:rPr>
                <w:rFonts w:ascii="IBM Plex Sans" w:hAnsi="IBM Plex Sans"/>
                <w:color w:val="121212"/>
                <w:sz w:val="19"/>
              </w:rPr>
              <w:t>Number of patients who had a suicide care management plan during the reporting period</w:t>
            </w:r>
          </w:p>
        </w:tc>
        <w:tc>
          <w:tcPr>
            <w:tcW w:w="1515" w:type="dxa"/>
            <w:tcBorders>
              <w:top w:val="nil"/>
              <w:left w:val="single" w:sz="4" w:space="0" w:color="AFB5BF"/>
              <w:bottom w:val="single" w:sz="4" w:space="0" w:color="AFB5BF"/>
              <w:right w:val="single" w:sz="4" w:space="0" w:color="AFB5BF"/>
            </w:tcBorders>
            <w:vAlign w:val="center"/>
          </w:tcPr>
          <w:p w14:paraId="7FEC8792" w14:textId="77777777" w:rsidR="007033FE" w:rsidRPr="009B0664" w:rsidRDefault="007033FE" w:rsidP="00DD2067">
            <w:pPr>
              <w:pStyle w:val="TableParagraph"/>
              <w:jc w:val="center"/>
              <w:rPr>
                <w:rFonts w:ascii="IBM Plex Sans" w:hAnsi="IBM Plex Sans"/>
                <w:color w:val="121212"/>
                <w:sz w:val="18"/>
              </w:rPr>
            </w:pPr>
          </w:p>
        </w:tc>
        <w:tc>
          <w:tcPr>
            <w:tcW w:w="1440" w:type="dxa"/>
            <w:tcBorders>
              <w:top w:val="nil"/>
              <w:left w:val="single" w:sz="4" w:space="0" w:color="AFB5BF"/>
              <w:bottom w:val="single" w:sz="4" w:space="0" w:color="AFB5BF"/>
            </w:tcBorders>
            <w:vAlign w:val="center"/>
          </w:tcPr>
          <w:p w14:paraId="3019FAA1" w14:textId="77777777" w:rsidR="007033FE" w:rsidRPr="009B0664" w:rsidRDefault="007033FE" w:rsidP="00DD2067">
            <w:pPr>
              <w:pStyle w:val="TableParagraph"/>
              <w:jc w:val="center"/>
              <w:rPr>
                <w:rFonts w:ascii="IBM Plex Sans" w:hAnsi="IBM Plex Sans"/>
                <w:color w:val="121212"/>
                <w:sz w:val="18"/>
              </w:rPr>
            </w:pPr>
          </w:p>
        </w:tc>
      </w:tr>
      <w:tr w:rsidR="007033FE" w:rsidRPr="009B0664" w14:paraId="69D1F1C4" w14:textId="77777777" w:rsidTr="006E74E3">
        <w:trPr>
          <w:trHeight w:val="2031"/>
        </w:trPr>
        <w:tc>
          <w:tcPr>
            <w:tcW w:w="823" w:type="dxa"/>
            <w:tcBorders>
              <w:top w:val="single" w:sz="4" w:space="0" w:color="AFB5BF"/>
              <w:bottom w:val="single" w:sz="4" w:space="0" w:color="AFB5BF"/>
              <w:right w:val="single" w:sz="4" w:space="0" w:color="AFB5BF"/>
            </w:tcBorders>
            <w:vAlign w:val="center"/>
          </w:tcPr>
          <w:p w14:paraId="6AAD1A6E" w14:textId="3DA177F9" w:rsidR="007033FE" w:rsidRPr="009B0664" w:rsidRDefault="007033FE" w:rsidP="00DD2067">
            <w:pPr>
              <w:pStyle w:val="TableParagraph"/>
              <w:jc w:val="center"/>
              <w:rPr>
                <w:rFonts w:ascii="IBM Plex Sans" w:hAnsi="IBM Plex Sans"/>
                <w:color w:val="B85784"/>
                <w:sz w:val="36"/>
              </w:rPr>
            </w:pPr>
            <w:r>
              <w:rPr>
                <w:rFonts w:ascii="IBM Plex Sans" w:hAnsi="IBM Plex Sans"/>
                <w:color w:val="B85784"/>
                <w:sz w:val="36"/>
              </w:rPr>
              <w:t>12</w:t>
            </w:r>
          </w:p>
        </w:tc>
        <w:tc>
          <w:tcPr>
            <w:tcW w:w="1793" w:type="dxa"/>
            <w:tcBorders>
              <w:top w:val="single" w:sz="4" w:space="0" w:color="AFB5BF"/>
              <w:left w:val="single" w:sz="4" w:space="0" w:color="AFB5BF"/>
              <w:bottom w:val="single" w:sz="4" w:space="0" w:color="AFB5BF"/>
              <w:right w:val="single" w:sz="4" w:space="0" w:color="AFB5BF"/>
            </w:tcBorders>
            <w:vAlign w:val="center"/>
          </w:tcPr>
          <w:p w14:paraId="463EB61B" w14:textId="08A7B7FE" w:rsidR="007033FE" w:rsidRPr="009B0664" w:rsidRDefault="009B0716" w:rsidP="009B0716">
            <w:pPr>
              <w:pStyle w:val="TableParagraph"/>
              <w:ind w:right="243"/>
              <w:jc w:val="center"/>
              <w:rPr>
                <w:rFonts w:ascii="IBM Plex Sans Medm" w:hAnsi="IBM Plex Sans Medm"/>
                <w:color w:val="8C3B61"/>
                <w:sz w:val="19"/>
              </w:rPr>
            </w:pPr>
            <w:r>
              <w:rPr>
                <w:rFonts w:ascii="IBM Plex Sans Medm" w:hAnsi="IBM Plex Sans Medm"/>
                <w:color w:val="8C3B61"/>
                <w:sz w:val="19"/>
              </w:rPr>
              <w:t>Inpatient Admissions</w:t>
            </w:r>
          </w:p>
        </w:tc>
        <w:tc>
          <w:tcPr>
            <w:tcW w:w="3327" w:type="dxa"/>
            <w:tcBorders>
              <w:top w:val="single" w:sz="4" w:space="0" w:color="AFB5BF"/>
              <w:left w:val="single" w:sz="4" w:space="0" w:color="AFB5BF"/>
              <w:bottom w:val="single" w:sz="4" w:space="0" w:color="AFB5BF"/>
              <w:right w:val="single" w:sz="4" w:space="0" w:color="AFB5BF"/>
            </w:tcBorders>
            <w:vAlign w:val="center"/>
          </w:tcPr>
          <w:p w14:paraId="6EDD0B96" w14:textId="660FDFF8" w:rsidR="007033FE" w:rsidRPr="009B0664" w:rsidRDefault="009B0716" w:rsidP="00DD2067">
            <w:pPr>
              <w:pStyle w:val="TableParagraph"/>
              <w:ind w:left="194" w:right="340"/>
              <w:jc w:val="center"/>
              <w:rPr>
                <w:rFonts w:ascii="IBM Plex Sans" w:hAnsi="IBM Plex Sans"/>
                <w:color w:val="121212"/>
                <w:sz w:val="19"/>
              </w:rPr>
            </w:pPr>
            <w:r w:rsidRPr="009B0716">
              <w:rPr>
                <w:rFonts w:ascii="IBM Plex Sans" w:hAnsi="IBM Plex Sans"/>
                <w:color w:val="121212"/>
                <w:sz w:val="19"/>
              </w:rPr>
              <w:t>Number of patients who were admitted for an inpatient psychiatric stay for making a suicide attempt who had a suicide care management plan during the reporting period</w:t>
            </w:r>
          </w:p>
        </w:tc>
        <w:tc>
          <w:tcPr>
            <w:tcW w:w="1729" w:type="dxa"/>
            <w:tcBorders>
              <w:top w:val="single" w:sz="4" w:space="0" w:color="AFB5BF"/>
              <w:left w:val="single" w:sz="4" w:space="0" w:color="AFB5BF"/>
              <w:bottom w:val="single" w:sz="4" w:space="0" w:color="AFB5BF"/>
              <w:right w:val="single" w:sz="4" w:space="0" w:color="AFB5BF"/>
            </w:tcBorders>
            <w:vAlign w:val="center"/>
          </w:tcPr>
          <w:p w14:paraId="31127B45" w14:textId="77777777" w:rsidR="007033FE" w:rsidRPr="009B0664" w:rsidRDefault="007033FE" w:rsidP="00DD2067">
            <w:pPr>
              <w:pStyle w:val="TableParagraph"/>
              <w:jc w:val="center"/>
              <w:rPr>
                <w:rFonts w:ascii="IBM Plex Sans" w:hAnsi="IBM Plex Sans"/>
                <w:color w:val="121212"/>
                <w:sz w:val="18"/>
              </w:rPr>
            </w:pPr>
          </w:p>
        </w:tc>
        <w:tc>
          <w:tcPr>
            <w:tcW w:w="3615" w:type="dxa"/>
            <w:tcBorders>
              <w:top w:val="single" w:sz="4" w:space="0" w:color="AFB5BF"/>
              <w:left w:val="single" w:sz="4" w:space="0" w:color="AFB5BF"/>
              <w:bottom w:val="single" w:sz="4" w:space="0" w:color="AFB5BF"/>
              <w:right w:val="single" w:sz="4" w:space="0" w:color="AFB5BF"/>
            </w:tcBorders>
            <w:vAlign w:val="center"/>
          </w:tcPr>
          <w:p w14:paraId="2D0FD09F" w14:textId="4716A01C" w:rsidR="007033FE" w:rsidRPr="009B0664" w:rsidRDefault="009B0716" w:rsidP="00DD2067">
            <w:pPr>
              <w:pStyle w:val="TableParagraph"/>
              <w:ind w:left="185" w:right="199" w:firstLine="7"/>
              <w:jc w:val="center"/>
              <w:rPr>
                <w:rFonts w:ascii="IBM Plex Sans" w:hAnsi="IBM Plex Sans"/>
                <w:color w:val="121212"/>
                <w:sz w:val="19"/>
              </w:rPr>
            </w:pPr>
            <w:r w:rsidRPr="009B0716">
              <w:rPr>
                <w:rFonts w:ascii="IBM Plex Sans" w:hAnsi="IBM Plex Sans"/>
                <w:color w:val="121212"/>
                <w:sz w:val="19"/>
              </w:rPr>
              <w:t>Number of patients who had a suicide care management plan during the reporting period</w:t>
            </w:r>
          </w:p>
        </w:tc>
        <w:tc>
          <w:tcPr>
            <w:tcW w:w="1515" w:type="dxa"/>
            <w:tcBorders>
              <w:top w:val="single" w:sz="4" w:space="0" w:color="AFB5BF"/>
              <w:left w:val="single" w:sz="4" w:space="0" w:color="AFB5BF"/>
              <w:bottom w:val="single" w:sz="4" w:space="0" w:color="AFB5BF"/>
              <w:right w:val="single" w:sz="4" w:space="0" w:color="AFB5BF"/>
            </w:tcBorders>
            <w:vAlign w:val="center"/>
          </w:tcPr>
          <w:p w14:paraId="52C33356" w14:textId="77777777" w:rsidR="007033FE" w:rsidRPr="009B0664" w:rsidRDefault="007033FE" w:rsidP="00DD2067">
            <w:pPr>
              <w:pStyle w:val="TableParagraph"/>
              <w:jc w:val="center"/>
              <w:rPr>
                <w:rFonts w:ascii="IBM Plex Sans" w:hAnsi="IBM Plex Sans"/>
                <w:color w:val="121212"/>
                <w:sz w:val="18"/>
              </w:rPr>
            </w:pPr>
          </w:p>
        </w:tc>
        <w:tc>
          <w:tcPr>
            <w:tcW w:w="1440" w:type="dxa"/>
            <w:tcBorders>
              <w:top w:val="single" w:sz="4" w:space="0" w:color="AFB5BF"/>
              <w:left w:val="single" w:sz="4" w:space="0" w:color="AFB5BF"/>
              <w:bottom w:val="single" w:sz="4" w:space="0" w:color="AFB5BF"/>
            </w:tcBorders>
            <w:vAlign w:val="center"/>
          </w:tcPr>
          <w:p w14:paraId="25954056" w14:textId="77777777" w:rsidR="007033FE" w:rsidRPr="009B0664" w:rsidRDefault="007033FE" w:rsidP="00DD2067">
            <w:pPr>
              <w:pStyle w:val="TableParagraph"/>
              <w:jc w:val="center"/>
              <w:rPr>
                <w:rFonts w:ascii="IBM Plex Sans" w:hAnsi="IBM Plex Sans"/>
                <w:color w:val="121212"/>
                <w:sz w:val="18"/>
              </w:rPr>
            </w:pPr>
          </w:p>
        </w:tc>
      </w:tr>
    </w:tbl>
    <w:p w14:paraId="5A5AD685" w14:textId="77777777" w:rsidR="007033FE" w:rsidRDefault="007033FE" w:rsidP="009B0716">
      <w:pPr>
        <w:rPr>
          <w:rFonts w:ascii="IBM Plex Sans" w:hAnsi="IBM Plex Sans"/>
          <w:color w:val="14768C"/>
          <w:sz w:val="24"/>
        </w:rPr>
      </w:pPr>
    </w:p>
    <w:tbl>
      <w:tblPr>
        <w:tblW w:w="14242" w:type="dxa"/>
        <w:tblInd w:w="765" w:type="dxa"/>
        <w:tblBorders>
          <w:top w:val="single" w:sz="18" w:space="0" w:color="E3E4E7"/>
          <w:left w:val="single" w:sz="18" w:space="0" w:color="E3E4E7"/>
          <w:bottom w:val="single" w:sz="18" w:space="0" w:color="E3E4E7"/>
          <w:right w:val="single" w:sz="18" w:space="0" w:color="E3E4E7"/>
          <w:insideH w:val="single" w:sz="18" w:space="0" w:color="E3E4E7"/>
          <w:insideV w:val="single" w:sz="18" w:space="0" w:color="E3E4E7"/>
        </w:tblBorders>
        <w:tblLayout w:type="fixed"/>
        <w:tblCellMar>
          <w:left w:w="0" w:type="dxa"/>
          <w:right w:w="0" w:type="dxa"/>
        </w:tblCellMar>
        <w:tblLook w:val="01E0" w:firstRow="1" w:lastRow="1" w:firstColumn="1" w:lastColumn="1" w:noHBand="0" w:noVBand="0"/>
      </w:tblPr>
      <w:tblGrid>
        <w:gridCol w:w="823"/>
        <w:gridCol w:w="1793"/>
        <w:gridCol w:w="2446"/>
        <w:gridCol w:w="1800"/>
        <w:gridCol w:w="2430"/>
        <w:gridCol w:w="1350"/>
        <w:gridCol w:w="2160"/>
        <w:gridCol w:w="1440"/>
      </w:tblGrid>
      <w:tr w:rsidR="007033FE" w:rsidRPr="009B0664" w14:paraId="4E65C2B6" w14:textId="77777777" w:rsidTr="006E74E3">
        <w:trPr>
          <w:trHeight w:val="442"/>
        </w:trPr>
        <w:tc>
          <w:tcPr>
            <w:tcW w:w="823" w:type="dxa"/>
            <w:tcBorders>
              <w:bottom w:val="nil"/>
              <w:right w:val="single" w:sz="4" w:space="0" w:color="AFB5BF"/>
            </w:tcBorders>
            <w:shd w:val="clear" w:color="auto" w:fill="B85784"/>
            <w:vAlign w:val="center"/>
          </w:tcPr>
          <w:p w14:paraId="41408929" w14:textId="77777777" w:rsidR="007033FE" w:rsidRPr="002458E5" w:rsidRDefault="007033FE" w:rsidP="00DD2067">
            <w:pPr>
              <w:pStyle w:val="TableParagraph"/>
              <w:jc w:val="center"/>
              <w:rPr>
                <w:rFonts w:ascii="IBM Plex Sans" w:hAnsi="IBM Plex Sans"/>
                <w:sz w:val="18"/>
              </w:rPr>
            </w:pPr>
          </w:p>
        </w:tc>
        <w:tc>
          <w:tcPr>
            <w:tcW w:w="1793" w:type="dxa"/>
            <w:tcBorders>
              <w:left w:val="single" w:sz="4" w:space="0" w:color="AFB5BF"/>
              <w:bottom w:val="nil"/>
              <w:right w:val="single" w:sz="4" w:space="0" w:color="AFB5BF"/>
            </w:tcBorders>
            <w:shd w:val="clear" w:color="auto" w:fill="B85784"/>
            <w:vAlign w:val="center"/>
          </w:tcPr>
          <w:p w14:paraId="63DAC59B" w14:textId="77777777" w:rsidR="007033FE" w:rsidRPr="006E74E3" w:rsidRDefault="007033FE" w:rsidP="00DD2067">
            <w:pPr>
              <w:pStyle w:val="TableParagraph"/>
              <w:jc w:val="center"/>
              <w:rPr>
                <w:rFonts w:ascii="IBM Plex Sans Medm" w:hAnsi="IBM Plex Sans Medm"/>
                <w:b/>
                <w:bCs/>
                <w:sz w:val="19"/>
              </w:rPr>
            </w:pPr>
            <w:r w:rsidRPr="006E74E3">
              <w:rPr>
                <w:rFonts w:ascii="IBM Plex Sans Medm" w:hAnsi="IBM Plex Sans Medm"/>
                <w:b/>
                <w:bCs/>
                <w:color w:val="FFFFFF"/>
                <w:sz w:val="19"/>
              </w:rPr>
              <w:t>Measure</w:t>
            </w:r>
          </w:p>
        </w:tc>
        <w:tc>
          <w:tcPr>
            <w:tcW w:w="4246" w:type="dxa"/>
            <w:gridSpan w:val="2"/>
            <w:tcBorders>
              <w:left w:val="single" w:sz="4" w:space="0" w:color="AFB5BF"/>
              <w:bottom w:val="nil"/>
              <w:right w:val="single" w:sz="4" w:space="0" w:color="AFB5BF"/>
            </w:tcBorders>
            <w:shd w:val="clear" w:color="auto" w:fill="B85784"/>
            <w:vAlign w:val="center"/>
          </w:tcPr>
          <w:p w14:paraId="5ADBB1BC" w14:textId="77777777" w:rsidR="007033FE" w:rsidRPr="006E74E3" w:rsidRDefault="007033FE" w:rsidP="00DD2067">
            <w:pPr>
              <w:pStyle w:val="TableParagraph"/>
              <w:ind w:right="1792"/>
              <w:jc w:val="center"/>
              <w:rPr>
                <w:rFonts w:ascii="IBM Plex Sans Medm" w:hAnsi="IBM Plex Sans Medm"/>
                <w:b/>
                <w:bCs/>
                <w:sz w:val="19"/>
              </w:rPr>
            </w:pPr>
            <w:r w:rsidRPr="006E74E3">
              <w:rPr>
                <w:rFonts w:ascii="IBM Plex Sans Medm" w:hAnsi="IBM Plex Sans Medm"/>
                <w:b/>
                <w:bCs/>
                <w:color w:val="FFFFFF"/>
                <w:sz w:val="19"/>
              </w:rPr>
              <w:t>Numerator</w:t>
            </w:r>
          </w:p>
        </w:tc>
        <w:tc>
          <w:tcPr>
            <w:tcW w:w="3780" w:type="dxa"/>
            <w:gridSpan w:val="2"/>
            <w:tcBorders>
              <w:left w:val="single" w:sz="4" w:space="0" w:color="AFB5BF"/>
              <w:bottom w:val="nil"/>
              <w:right w:val="single" w:sz="4" w:space="0" w:color="E3E4E7"/>
            </w:tcBorders>
            <w:shd w:val="clear" w:color="auto" w:fill="B85784"/>
            <w:vAlign w:val="center"/>
          </w:tcPr>
          <w:p w14:paraId="393E5EC0" w14:textId="77777777" w:rsidR="007033FE" w:rsidRPr="006E74E3" w:rsidRDefault="007033FE" w:rsidP="00DD2067">
            <w:pPr>
              <w:pStyle w:val="TableParagraph"/>
              <w:ind w:right="-10"/>
              <w:jc w:val="center"/>
              <w:rPr>
                <w:rFonts w:ascii="IBM Plex Sans Medm" w:hAnsi="IBM Plex Sans Medm"/>
                <w:b/>
                <w:bCs/>
                <w:sz w:val="19"/>
              </w:rPr>
            </w:pPr>
            <w:r w:rsidRPr="006E74E3">
              <w:rPr>
                <w:rFonts w:ascii="IBM Plex Sans Medm" w:hAnsi="IBM Plex Sans Medm"/>
                <w:b/>
                <w:bCs/>
                <w:color w:val="FFFFFF"/>
                <w:sz w:val="19"/>
              </w:rPr>
              <w:t>Denominator</w:t>
            </w:r>
          </w:p>
        </w:tc>
        <w:tc>
          <w:tcPr>
            <w:tcW w:w="2160" w:type="dxa"/>
            <w:tcBorders>
              <w:left w:val="single" w:sz="4" w:space="0" w:color="E3E4E7"/>
              <w:bottom w:val="nil"/>
              <w:right w:val="single" w:sz="4" w:space="0" w:color="E3E4E7"/>
            </w:tcBorders>
            <w:shd w:val="clear" w:color="auto" w:fill="B85784"/>
          </w:tcPr>
          <w:p w14:paraId="28C5C358" w14:textId="77777777" w:rsidR="007033FE" w:rsidRPr="006E74E3" w:rsidRDefault="007033FE" w:rsidP="00DD2067">
            <w:pPr>
              <w:pStyle w:val="TableParagraph"/>
              <w:ind w:left="48"/>
              <w:jc w:val="center"/>
              <w:rPr>
                <w:rFonts w:ascii="IBM Plex Sans Medm" w:hAnsi="IBM Plex Sans Medm"/>
                <w:b/>
                <w:bCs/>
                <w:color w:val="FFFFFF"/>
                <w:sz w:val="19"/>
              </w:rPr>
            </w:pPr>
          </w:p>
        </w:tc>
        <w:tc>
          <w:tcPr>
            <w:tcW w:w="1440" w:type="dxa"/>
            <w:tcBorders>
              <w:left w:val="single" w:sz="4" w:space="0" w:color="E3E4E7"/>
              <w:bottom w:val="nil"/>
            </w:tcBorders>
            <w:shd w:val="clear" w:color="auto" w:fill="B85784"/>
            <w:vAlign w:val="center"/>
          </w:tcPr>
          <w:p w14:paraId="45E3C768" w14:textId="77777777" w:rsidR="007033FE" w:rsidRPr="006E74E3" w:rsidRDefault="007033FE" w:rsidP="00DD2067">
            <w:pPr>
              <w:pStyle w:val="TableParagraph"/>
              <w:ind w:left="48"/>
              <w:jc w:val="center"/>
              <w:rPr>
                <w:rFonts w:ascii="IBM Plex Sans Medm" w:hAnsi="IBM Plex Sans Medm"/>
                <w:b/>
                <w:bCs/>
                <w:sz w:val="19"/>
              </w:rPr>
            </w:pPr>
            <w:r w:rsidRPr="006E74E3">
              <w:rPr>
                <w:rFonts w:ascii="IBM Plex Sans Medm" w:hAnsi="IBM Plex Sans Medm"/>
                <w:b/>
                <w:bCs/>
                <w:color w:val="FFFFFF"/>
                <w:sz w:val="19"/>
              </w:rPr>
              <w:t>%</w:t>
            </w:r>
          </w:p>
        </w:tc>
      </w:tr>
      <w:tr w:rsidR="007033FE" w:rsidRPr="009B0664" w14:paraId="253F4B12" w14:textId="77777777" w:rsidTr="006E74E3">
        <w:trPr>
          <w:trHeight w:val="2054"/>
        </w:trPr>
        <w:tc>
          <w:tcPr>
            <w:tcW w:w="823" w:type="dxa"/>
            <w:tcBorders>
              <w:top w:val="nil"/>
              <w:bottom w:val="single" w:sz="4" w:space="0" w:color="AFB5BF"/>
              <w:right w:val="single" w:sz="4" w:space="0" w:color="AFB5BF"/>
            </w:tcBorders>
            <w:vAlign w:val="center"/>
          </w:tcPr>
          <w:p w14:paraId="30EBA978" w14:textId="5AC33597" w:rsidR="007033FE" w:rsidRPr="009B0664" w:rsidRDefault="009B0716" w:rsidP="00DD2067">
            <w:pPr>
              <w:pStyle w:val="TableParagraph"/>
              <w:jc w:val="center"/>
              <w:rPr>
                <w:rFonts w:ascii="IBM Plex Sans" w:hAnsi="IBM Plex Sans"/>
                <w:color w:val="B85784"/>
                <w:sz w:val="36"/>
              </w:rPr>
            </w:pPr>
            <w:r>
              <w:rPr>
                <w:rFonts w:ascii="IBM Plex Sans" w:hAnsi="IBM Plex Sans"/>
                <w:color w:val="B85784"/>
                <w:sz w:val="36"/>
              </w:rPr>
              <w:t>13</w:t>
            </w:r>
          </w:p>
        </w:tc>
        <w:tc>
          <w:tcPr>
            <w:tcW w:w="1793" w:type="dxa"/>
            <w:tcBorders>
              <w:top w:val="nil"/>
              <w:left w:val="single" w:sz="4" w:space="0" w:color="AFB5BF"/>
              <w:bottom w:val="single" w:sz="4" w:space="0" w:color="AFB5BF"/>
              <w:right w:val="single" w:sz="4" w:space="0" w:color="AFB5BF"/>
            </w:tcBorders>
            <w:vAlign w:val="center"/>
          </w:tcPr>
          <w:p w14:paraId="5BD122E7" w14:textId="6BEE0DD7" w:rsidR="007033FE" w:rsidRPr="009B0664" w:rsidRDefault="009B0716" w:rsidP="00DD2067">
            <w:pPr>
              <w:pStyle w:val="TableParagraph"/>
              <w:ind w:left="99" w:right="243"/>
              <w:jc w:val="center"/>
              <w:rPr>
                <w:rFonts w:ascii="IBM Plex Sans Medm" w:hAnsi="IBM Plex Sans Medm"/>
                <w:color w:val="8C3B61"/>
                <w:sz w:val="19"/>
              </w:rPr>
            </w:pPr>
            <w:r>
              <w:rPr>
                <w:rFonts w:ascii="IBM Plex Sans Medm" w:hAnsi="IBM Plex Sans Medm"/>
                <w:color w:val="8C3B61"/>
                <w:sz w:val="19"/>
              </w:rPr>
              <w:t>Suicide Attempt Rate Among All Patients</w:t>
            </w:r>
          </w:p>
        </w:tc>
        <w:tc>
          <w:tcPr>
            <w:tcW w:w="2446" w:type="dxa"/>
            <w:tcBorders>
              <w:top w:val="nil"/>
              <w:left w:val="single" w:sz="4" w:space="0" w:color="AFB5BF"/>
              <w:bottom w:val="single" w:sz="4" w:space="0" w:color="AFB5BF"/>
              <w:right w:val="single" w:sz="4" w:space="0" w:color="AFB5BF"/>
            </w:tcBorders>
            <w:vAlign w:val="center"/>
          </w:tcPr>
          <w:p w14:paraId="0134EE9C" w14:textId="4B265747" w:rsidR="007033FE" w:rsidRPr="009B0664" w:rsidRDefault="009B0716" w:rsidP="00DD2067">
            <w:pPr>
              <w:pStyle w:val="TableParagraph"/>
              <w:ind w:left="194" w:right="340"/>
              <w:jc w:val="center"/>
              <w:rPr>
                <w:rFonts w:ascii="IBM Plex Sans" w:hAnsi="IBM Plex Sans"/>
                <w:color w:val="121212"/>
                <w:sz w:val="19"/>
              </w:rPr>
            </w:pPr>
            <w:r>
              <w:rPr>
                <w:rFonts w:ascii="IBM Plex Sans" w:hAnsi="IBM Plex Sans"/>
                <w:color w:val="121212"/>
                <w:sz w:val="19"/>
              </w:rPr>
              <w:t xml:space="preserve">Number of patients who </w:t>
            </w:r>
            <w:proofErr w:type="gramStart"/>
            <w:r>
              <w:rPr>
                <w:rFonts w:ascii="IBM Plex Sans" w:hAnsi="IBM Plex Sans"/>
                <w:color w:val="121212"/>
                <w:sz w:val="19"/>
              </w:rPr>
              <w:t>made an attempt</w:t>
            </w:r>
            <w:proofErr w:type="gramEnd"/>
            <w:r>
              <w:rPr>
                <w:rFonts w:ascii="IBM Plex Sans" w:hAnsi="IBM Plex Sans"/>
                <w:color w:val="121212"/>
                <w:sz w:val="19"/>
              </w:rPr>
              <w:t xml:space="preserve"> during the reporting period</w:t>
            </w:r>
          </w:p>
        </w:tc>
        <w:tc>
          <w:tcPr>
            <w:tcW w:w="1800" w:type="dxa"/>
            <w:tcBorders>
              <w:top w:val="nil"/>
              <w:left w:val="single" w:sz="4" w:space="0" w:color="AFB5BF"/>
              <w:bottom w:val="single" w:sz="4" w:space="0" w:color="AFB5BF"/>
              <w:right w:val="single" w:sz="4" w:space="0" w:color="AFB5BF"/>
            </w:tcBorders>
            <w:vAlign w:val="center"/>
          </w:tcPr>
          <w:p w14:paraId="66B27F5B" w14:textId="77777777" w:rsidR="007033FE" w:rsidRPr="009B0664" w:rsidRDefault="007033FE" w:rsidP="00DD2067">
            <w:pPr>
              <w:pStyle w:val="TableParagraph"/>
              <w:jc w:val="center"/>
              <w:rPr>
                <w:rFonts w:ascii="IBM Plex Sans" w:hAnsi="IBM Plex Sans"/>
                <w:color w:val="121212"/>
                <w:sz w:val="18"/>
              </w:rPr>
            </w:pPr>
          </w:p>
        </w:tc>
        <w:tc>
          <w:tcPr>
            <w:tcW w:w="2430" w:type="dxa"/>
            <w:tcBorders>
              <w:top w:val="nil"/>
              <w:left w:val="single" w:sz="4" w:space="0" w:color="AFB5BF"/>
              <w:bottom w:val="single" w:sz="4" w:space="0" w:color="AFB5BF"/>
              <w:right w:val="single" w:sz="4" w:space="0" w:color="AFB5BF"/>
            </w:tcBorders>
            <w:vAlign w:val="center"/>
          </w:tcPr>
          <w:p w14:paraId="68CCB819" w14:textId="35DECFB3" w:rsidR="007033FE" w:rsidRPr="009B0664" w:rsidRDefault="009B0716" w:rsidP="00DD2067">
            <w:pPr>
              <w:pStyle w:val="TableParagraph"/>
              <w:ind w:left="185" w:right="248" w:firstLine="7"/>
              <w:jc w:val="center"/>
              <w:rPr>
                <w:rFonts w:ascii="IBM Plex Sans" w:hAnsi="IBM Plex Sans"/>
                <w:color w:val="121212"/>
                <w:sz w:val="19"/>
              </w:rPr>
            </w:pPr>
            <w:r>
              <w:rPr>
                <w:rFonts w:ascii="IBM Plex Sans" w:hAnsi="IBM Plex Sans"/>
                <w:color w:val="121212"/>
                <w:sz w:val="19"/>
              </w:rPr>
              <w:t>Number of patients enrolled for services during the reporting period (i.e., open case files) regardless of when they were last seen</w:t>
            </w:r>
          </w:p>
        </w:tc>
        <w:tc>
          <w:tcPr>
            <w:tcW w:w="1350" w:type="dxa"/>
            <w:tcBorders>
              <w:top w:val="nil"/>
              <w:left w:val="single" w:sz="4" w:space="0" w:color="AFB5BF"/>
              <w:bottom w:val="single" w:sz="4" w:space="0" w:color="AFB5BF"/>
              <w:right w:val="single" w:sz="4" w:space="0" w:color="AFB5BF"/>
            </w:tcBorders>
            <w:vAlign w:val="center"/>
          </w:tcPr>
          <w:p w14:paraId="10BF8DEC"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(Numerator/</w:t>
            </w:r>
          </w:p>
          <w:p w14:paraId="1FB44D5C"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 xml:space="preserve">Denominator) </w:t>
            </w:r>
          </w:p>
          <w:p w14:paraId="630885DB" w14:textId="77777777" w:rsidR="007033FE" w:rsidRPr="009B0664" w:rsidRDefault="007033FE" w:rsidP="00DD2067">
            <w:pPr>
              <w:pStyle w:val="TableParagraph"/>
              <w:jc w:val="center"/>
              <w:rPr>
                <w:rFonts w:ascii="IBM Plex Sans" w:hAnsi="IBM Plex Sans"/>
                <w:color w:val="121212"/>
                <w:sz w:val="18"/>
              </w:rPr>
            </w:pPr>
            <w:r>
              <w:rPr>
                <w:rFonts w:ascii="IBM Plex Sans" w:hAnsi="IBM Plex Sans"/>
                <w:color w:val="121212"/>
                <w:sz w:val="18"/>
              </w:rPr>
              <w:t>x 10,000</w:t>
            </w:r>
          </w:p>
        </w:tc>
        <w:tc>
          <w:tcPr>
            <w:tcW w:w="2160" w:type="dxa"/>
            <w:tcBorders>
              <w:top w:val="nil"/>
              <w:left w:val="single" w:sz="4" w:space="0" w:color="AFB5BF"/>
              <w:bottom w:val="single" w:sz="4" w:space="0" w:color="AFB5BF"/>
              <w:right w:val="single" w:sz="4" w:space="0" w:color="AFB5BF"/>
            </w:tcBorders>
          </w:tcPr>
          <w:p w14:paraId="59040EAE" w14:textId="77777777" w:rsidR="007033FE" w:rsidRDefault="007033FE" w:rsidP="00DD2067">
            <w:pPr>
              <w:pStyle w:val="TableParagraph"/>
              <w:jc w:val="center"/>
              <w:rPr>
                <w:rFonts w:ascii="IBM Plex Sans" w:hAnsi="IBM Plex Sans"/>
                <w:color w:val="121212"/>
                <w:sz w:val="18"/>
              </w:rPr>
            </w:pPr>
          </w:p>
        </w:tc>
        <w:tc>
          <w:tcPr>
            <w:tcW w:w="1440" w:type="dxa"/>
            <w:tcBorders>
              <w:top w:val="nil"/>
              <w:left w:val="single" w:sz="4" w:space="0" w:color="AFB5BF"/>
              <w:bottom w:val="single" w:sz="4" w:space="0" w:color="AFB5BF"/>
            </w:tcBorders>
            <w:vAlign w:val="center"/>
          </w:tcPr>
          <w:p w14:paraId="0BB4072D"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 xml:space="preserve">per 10,000 </w:t>
            </w:r>
          </w:p>
          <w:p w14:paraId="1483F449" w14:textId="77777777" w:rsidR="007033FE" w:rsidRPr="009B0664" w:rsidRDefault="007033FE" w:rsidP="00DD2067">
            <w:pPr>
              <w:pStyle w:val="TableParagraph"/>
              <w:jc w:val="center"/>
              <w:rPr>
                <w:rFonts w:ascii="IBM Plex Sans" w:hAnsi="IBM Plex Sans"/>
                <w:color w:val="121212"/>
                <w:sz w:val="18"/>
              </w:rPr>
            </w:pPr>
            <w:r>
              <w:rPr>
                <w:rFonts w:ascii="IBM Plex Sans" w:hAnsi="IBM Plex Sans"/>
                <w:color w:val="121212"/>
                <w:sz w:val="18"/>
              </w:rPr>
              <w:t>population</w:t>
            </w:r>
          </w:p>
        </w:tc>
      </w:tr>
      <w:tr w:rsidR="007033FE" w:rsidRPr="009B0664" w14:paraId="15059729" w14:textId="77777777" w:rsidTr="006E74E3">
        <w:trPr>
          <w:trHeight w:val="2031"/>
        </w:trPr>
        <w:tc>
          <w:tcPr>
            <w:tcW w:w="823" w:type="dxa"/>
            <w:tcBorders>
              <w:top w:val="single" w:sz="4" w:space="0" w:color="AFB5BF"/>
              <w:bottom w:val="single" w:sz="4" w:space="0" w:color="AFB5BF"/>
              <w:right w:val="single" w:sz="4" w:space="0" w:color="AFB5BF"/>
            </w:tcBorders>
            <w:vAlign w:val="center"/>
          </w:tcPr>
          <w:p w14:paraId="082FAE03" w14:textId="6C26CCB0" w:rsidR="007033FE" w:rsidRPr="009B0664" w:rsidRDefault="009B0716" w:rsidP="00DD2067">
            <w:pPr>
              <w:pStyle w:val="TableParagraph"/>
              <w:jc w:val="center"/>
              <w:rPr>
                <w:rFonts w:ascii="IBM Plex Sans" w:hAnsi="IBM Plex Sans"/>
                <w:color w:val="B85784"/>
                <w:sz w:val="36"/>
              </w:rPr>
            </w:pPr>
            <w:r>
              <w:rPr>
                <w:rFonts w:ascii="IBM Plex Sans" w:hAnsi="IBM Plex Sans"/>
                <w:color w:val="B85784"/>
                <w:sz w:val="36"/>
              </w:rPr>
              <w:t>14</w:t>
            </w:r>
          </w:p>
        </w:tc>
        <w:tc>
          <w:tcPr>
            <w:tcW w:w="1793" w:type="dxa"/>
            <w:tcBorders>
              <w:top w:val="single" w:sz="4" w:space="0" w:color="AFB5BF"/>
              <w:left w:val="single" w:sz="4" w:space="0" w:color="AFB5BF"/>
              <w:bottom w:val="single" w:sz="4" w:space="0" w:color="AFB5BF"/>
              <w:right w:val="single" w:sz="4" w:space="0" w:color="AFB5BF"/>
            </w:tcBorders>
            <w:vAlign w:val="center"/>
          </w:tcPr>
          <w:p w14:paraId="28334C9C" w14:textId="2A73AA23" w:rsidR="007033FE" w:rsidRPr="009B0664" w:rsidRDefault="009B0716" w:rsidP="00DD2067">
            <w:pPr>
              <w:pStyle w:val="TableParagraph"/>
              <w:ind w:left="99" w:right="243"/>
              <w:jc w:val="center"/>
              <w:rPr>
                <w:rFonts w:ascii="IBM Plex Sans Medm" w:hAnsi="IBM Plex Sans Medm"/>
                <w:color w:val="8C3B61"/>
                <w:sz w:val="19"/>
              </w:rPr>
            </w:pPr>
            <w:r>
              <w:rPr>
                <w:rFonts w:ascii="IBM Plex Sans Medm" w:hAnsi="IBM Plex Sans Medm"/>
                <w:color w:val="8C3B61"/>
                <w:sz w:val="19"/>
              </w:rPr>
              <w:t>Suicide Attempt Rate Among Those with Identified Risk</w:t>
            </w:r>
          </w:p>
        </w:tc>
        <w:tc>
          <w:tcPr>
            <w:tcW w:w="2446" w:type="dxa"/>
            <w:tcBorders>
              <w:top w:val="single" w:sz="4" w:space="0" w:color="AFB5BF"/>
              <w:left w:val="single" w:sz="4" w:space="0" w:color="AFB5BF"/>
              <w:bottom w:val="single" w:sz="4" w:space="0" w:color="AFB5BF"/>
              <w:right w:val="single" w:sz="4" w:space="0" w:color="AFB5BF"/>
            </w:tcBorders>
            <w:vAlign w:val="center"/>
          </w:tcPr>
          <w:p w14:paraId="530EB3E5" w14:textId="0639A58D" w:rsidR="007033FE" w:rsidRPr="009B0664" w:rsidRDefault="009B0716" w:rsidP="00DD2067">
            <w:pPr>
              <w:pStyle w:val="TableParagraph"/>
              <w:ind w:left="194" w:right="340"/>
              <w:jc w:val="center"/>
              <w:rPr>
                <w:rFonts w:ascii="IBM Plex Sans" w:hAnsi="IBM Plex Sans"/>
                <w:color w:val="121212"/>
                <w:sz w:val="19"/>
              </w:rPr>
            </w:pPr>
            <w:r>
              <w:rPr>
                <w:rFonts w:ascii="IBM Plex Sans" w:hAnsi="IBM Plex Sans"/>
                <w:color w:val="121212"/>
                <w:sz w:val="19"/>
              </w:rPr>
              <w:t>Number of patients with a suicide care management plan who made a suicide attempt during the reporting period</w:t>
            </w:r>
          </w:p>
        </w:tc>
        <w:tc>
          <w:tcPr>
            <w:tcW w:w="1800" w:type="dxa"/>
            <w:tcBorders>
              <w:top w:val="single" w:sz="4" w:space="0" w:color="AFB5BF"/>
              <w:left w:val="single" w:sz="4" w:space="0" w:color="AFB5BF"/>
              <w:bottom w:val="single" w:sz="4" w:space="0" w:color="AFB5BF"/>
              <w:right w:val="single" w:sz="4" w:space="0" w:color="AFB5BF"/>
            </w:tcBorders>
            <w:vAlign w:val="center"/>
          </w:tcPr>
          <w:p w14:paraId="76182D02" w14:textId="77777777" w:rsidR="007033FE" w:rsidRPr="009B0664" w:rsidRDefault="007033FE" w:rsidP="00DD2067">
            <w:pPr>
              <w:pStyle w:val="TableParagraph"/>
              <w:jc w:val="center"/>
              <w:rPr>
                <w:rFonts w:ascii="IBM Plex Sans" w:hAnsi="IBM Plex Sans"/>
                <w:color w:val="121212"/>
                <w:sz w:val="18"/>
              </w:rPr>
            </w:pPr>
          </w:p>
        </w:tc>
        <w:tc>
          <w:tcPr>
            <w:tcW w:w="2430" w:type="dxa"/>
            <w:tcBorders>
              <w:top w:val="single" w:sz="4" w:space="0" w:color="AFB5BF"/>
              <w:left w:val="single" w:sz="4" w:space="0" w:color="AFB5BF"/>
              <w:bottom w:val="single" w:sz="4" w:space="0" w:color="AFB5BF"/>
              <w:right w:val="single" w:sz="4" w:space="0" w:color="AFB5BF"/>
            </w:tcBorders>
            <w:vAlign w:val="center"/>
          </w:tcPr>
          <w:p w14:paraId="1883973F" w14:textId="49F73985" w:rsidR="007033FE" w:rsidRPr="009B0664" w:rsidRDefault="009B0716" w:rsidP="00DD2067">
            <w:pPr>
              <w:pStyle w:val="TableParagraph"/>
              <w:ind w:left="185" w:right="199" w:firstLine="7"/>
              <w:jc w:val="center"/>
              <w:rPr>
                <w:rFonts w:ascii="IBM Plex Sans" w:hAnsi="IBM Plex Sans"/>
                <w:color w:val="121212"/>
                <w:sz w:val="19"/>
              </w:rPr>
            </w:pPr>
            <w:r>
              <w:rPr>
                <w:rFonts w:ascii="IBM Plex Sans" w:hAnsi="IBM Plex Sans"/>
                <w:color w:val="121212"/>
                <w:sz w:val="19"/>
              </w:rPr>
              <w:t>Number of patients with a suicide care management plan during the reporting period</w:t>
            </w:r>
          </w:p>
        </w:tc>
        <w:tc>
          <w:tcPr>
            <w:tcW w:w="1350" w:type="dxa"/>
            <w:tcBorders>
              <w:top w:val="single" w:sz="4" w:space="0" w:color="AFB5BF"/>
              <w:left w:val="single" w:sz="4" w:space="0" w:color="AFB5BF"/>
              <w:bottom w:val="single" w:sz="4" w:space="0" w:color="AFB5BF"/>
              <w:right w:val="single" w:sz="4" w:space="0" w:color="AFB5BF"/>
            </w:tcBorders>
            <w:vAlign w:val="center"/>
          </w:tcPr>
          <w:p w14:paraId="0B4E068F"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(Numerator/</w:t>
            </w:r>
          </w:p>
          <w:p w14:paraId="4B5E580B"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 xml:space="preserve">Denominator) </w:t>
            </w:r>
          </w:p>
          <w:p w14:paraId="7D646B65" w14:textId="77777777" w:rsidR="007033FE" w:rsidRPr="009B0664" w:rsidRDefault="007033FE" w:rsidP="00DD2067">
            <w:pPr>
              <w:pStyle w:val="TableParagraph"/>
              <w:jc w:val="center"/>
              <w:rPr>
                <w:rFonts w:ascii="IBM Plex Sans" w:hAnsi="IBM Plex Sans"/>
                <w:color w:val="121212"/>
                <w:sz w:val="18"/>
              </w:rPr>
            </w:pPr>
            <w:r>
              <w:rPr>
                <w:rFonts w:ascii="IBM Plex Sans" w:hAnsi="IBM Plex Sans"/>
                <w:color w:val="121212"/>
                <w:sz w:val="18"/>
              </w:rPr>
              <w:t>x 10,000</w:t>
            </w:r>
          </w:p>
        </w:tc>
        <w:tc>
          <w:tcPr>
            <w:tcW w:w="2160" w:type="dxa"/>
            <w:tcBorders>
              <w:top w:val="single" w:sz="4" w:space="0" w:color="AFB5BF"/>
              <w:left w:val="single" w:sz="4" w:space="0" w:color="AFB5BF"/>
              <w:bottom w:val="single" w:sz="4" w:space="0" w:color="AFB5BF"/>
              <w:right w:val="single" w:sz="4" w:space="0" w:color="AFB5BF"/>
            </w:tcBorders>
          </w:tcPr>
          <w:p w14:paraId="1078F3E3" w14:textId="77777777" w:rsidR="007033FE" w:rsidRDefault="007033FE" w:rsidP="00DD2067">
            <w:pPr>
              <w:pStyle w:val="TableParagraph"/>
              <w:jc w:val="center"/>
              <w:rPr>
                <w:rFonts w:ascii="IBM Plex Sans" w:hAnsi="IBM Plex Sans"/>
                <w:color w:val="121212"/>
                <w:sz w:val="18"/>
              </w:rPr>
            </w:pPr>
          </w:p>
        </w:tc>
        <w:tc>
          <w:tcPr>
            <w:tcW w:w="1440" w:type="dxa"/>
            <w:tcBorders>
              <w:top w:val="single" w:sz="4" w:space="0" w:color="AFB5BF"/>
              <w:left w:val="single" w:sz="4" w:space="0" w:color="AFB5BF"/>
              <w:bottom w:val="single" w:sz="4" w:space="0" w:color="AFB5BF"/>
            </w:tcBorders>
            <w:vAlign w:val="center"/>
          </w:tcPr>
          <w:p w14:paraId="0B30F80D" w14:textId="77777777" w:rsidR="007033FE" w:rsidRDefault="007033FE" w:rsidP="00DD2067">
            <w:pPr>
              <w:pStyle w:val="TableParagraph"/>
              <w:jc w:val="center"/>
              <w:rPr>
                <w:rFonts w:ascii="IBM Plex Sans" w:hAnsi="IBM Plex Sans"/>
                <w:color w:val="121212"/>
                <w:sz w:val="18"/>
              </w:rPr>
            </w:pPr>
            <w:r>
              <w:rPr>
                <w:rFonts w:ascii="IBM Plex Sans" w:hAnsi="IBM Plex Sans"/>
                <w:color w:val="121212"/>
                <w:sz w:val="18"/>
              </w:rPr>
              <w:t xml:space="preserve">per 10,000 </w:t>
            </w:r>
          </w:p>
          <w:p w14:paraId="70A8C11E" w14:textId="77777777" w:rsidR="007033FE" w:rsidRPr="009B0664" w:rsidRDefault="007033FE" w:rsidP="00DD2067">
            <w:pPr>
              <w:pStyle w:val="TableParagraph"/>
              <w:jc w:val="center"/>
              <w:rPr>
                <w:rFonts w:ascii="IBM Plex Sans" w:hAnsi="IBM Plex Sans"/>
                <w:color w:val="121212"/>
                <w:sz w:val="18"/>
              </w:rPr>
            </w:pPr>
            <w:r>
              <w:rPr>
                <w:rFonts w:ascii="IBM Plex Sans" w:hAnsi="IBM Plex Sans"/>
                <w:color w:val="121212"/>
                <w:sz w:val="18"/>
              </w:rPr>
              <w:t>population</w:t>
            </w:r>
          </w:p>
        </w:tc>
      </w:tr>
    </w:tbl>
    <w:p w14:paraId="00EB2D15" w14:textId="77777777" w:rsidR="007033FE" w:rsidRDefault="007033FE" w:rsidP="009B0716">
      <w:pPr>
        <w:rPr>
          <w:rFonts w:ascii="IBM Plex Sans" w:hAnsi="IBM Plex Sans"/>
          <w:color w:val="14768C"/>
          <w:sz w:val="24"/>
        </w:rPr>
      </w:pPr>
    </w:p>
    <w:sectPr w:rsidR="007033FE">
      <w:pgSz w:w="15840" w:h="12240" w:orient="landscape"/>
      <w:pgMar w:top="1080" w:right="0" w:bottom="740" w:left="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02C4" w14:textId="77777777" w:rsidR="00FB7E4F" w:rsidRDefault="00FB7E4F">
      <w:r>
        <w:separator/>
      </w:r>
    </w:p>
  </w:endnote>
  <w:endnote w:type="continuationSeparator" w:id="0">
    <w:p w14:paraId="21AA71FF" w14:textId="77777777" w:rsidR="00FB7E4F" w:rsidRDefault="00FB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BM Plex Sans">
    <w:charset w:val="00"/>
    <w:family w:val="swiss"/>
    <w:pitch w:val="variable"/>
    <w:sig w:usb0="A00002EF" w:usb1="5000207B" w:usb2="00000000" w:usb3="00000000" w:csb0="0000019F" w:csb1="00000000"/>
  </w:font>
  <w:font w:name="IBM Plex Serif Medm">
    <w:altName w:val="Cambria"/>
    <w:charset w:val="00"/>
    <w:family w:val="roman"/>
    <w:pitch w:val="variable"/>
    <w:sig w:usb0="A00002EF" w:usb1="5000203B" w:usb2="00000000" w:usb3="00000000" w:csb0="0000019F" w:csb1="00000000"/>
  </w:font>
  <w:font w:name="IBM Plex Sans Medm">
    <w:altName w:val="Calibri"/>
    <w:charset w:val="00"/>
    <w:family w:val="swiss"/>
    <w:pitch w:val="variable"/>
    <w:sig w:usb0="A00002EF" w:usb1="5000203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9331" w14:textId="6123DFCD" w:rsidR="004C6A05" w:rsidRDefault="009B0664" w:rsidP="004C6A05">
    <w:pPr>
      <w:pStyle w:val="Footer"/>
      <w:jc w:val="right"/>
    </w:pPr>
    <w:r>
      <w:rPr>
        <w:rFonts w:ascii="IBM Plex Sans" w:hAnsi="IBM Plex Sans"/>
        <w:noProof/>
        <w:color w:val="121212"/>
        <w:sz w:val="19"/>
      </w:rPr>
      <w:drawing>
        <wp:anchor distT="0" distB="0" distL="114300" distR="114300" simplePos="0" relativeHeight="251662336" behindDoc="0" locked="0" layoutInCell="1" allowOverlap="1" wp14:anchorId="384DA8DE" wp14:editId="448BFEB9">
          <wp:simplePos x="0" y="0"/>
          <wp:positionH relativeFrom="column">
            <wp:posOffset>8224629</wp:posOffset>
          </wp:positionH>
          <wp:positionV relativeFrom="paragraph">
            <wp:posOffset>76200</wp:posOffset>
          </wp:positionV>
          <wp:extent cx="1261910" cy="312313"/>
          <wp:effectExtent l="0" t="0" r="0" b="5715"/>
          <wp:wrapNone/>
          <wp:docPr id="110784910" name="Picture 19"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2400" name="Picture 19"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1910" cy="312313"/>
                  </a:xfrm>
                  <a:prstGeom prst="rect">
                    <a:avLst/>
                  </a:prstGeom>
                </pic:spPr>
              </pic:pic>
            </a:graphicData>
          </a:graphic>
          <wp14:sizeRelH relativeFrom="page">
            <wp14:pctWidth>0</wp14:pctWidth>
          </wp14:sizeRelH>
          <wp14:sizeRelV relativeFrom="page">
            <wp14:pctHeight>0</wp14:pctHeight>
          </wp14:sizeRelV>
        </wp:anchor>
      </w:drawing>
    </w:r>
    <w:r w:rsidR="004C6A05">
      <w:rPr>
        <w:noProof/>
      </w:rPr>
      <mc:AlternateContent>
        <mc:Choice Requires="wps">
          <w:drawing>
            <wp:anchor distT="0" distB="0" distL="114300" distR="114300" simplePos="0" relativeHeight="251660288" behindDoc="0" locked="0" layoutInCell="1" allowOverlap="1" wp14:anchorId="6B066D8F" wp14:editId="1D6BBF98">
              <wp:simplePos x="0" y="0"/>
              <wp:positionH relativeFrom="column">
                <wp:posOffset>443619</wp:posOffset>
              </wp:positionH>
              <wp:positionV relativeFrom="paragraph">
                <wp:posOffset>124441</wp:posOffset>
              </wp:positionV>
              <wp:extent cx="5223849" cy="325925"/>
              <wp:effectExtent l="0" t="0" r="0" b="4445"/>
              <wp:wrapNone/>
              <wp:docPr id="1888116853" name="Text Box 18"/>
              <wp:cNvGraphicFramePr/>
              <a:graphic xmlns:a="http://schemas.openxmlformats.org/drawingml/2006/main">
                <a:graphicData uri="http://schemas.microsoft.com/office/word/2010/wordprocessingShape">
                  <wps:wsp>
                    <wps:cNvSpPr txBox="1"/>
                    <wps:spPr>
                      <a:xfrm>
                        <a:off x="0" y="0"/>
                        <a:ext cx="5223849" cy="325925"/>
                      </a:xfrm>
                      <a:prstGeom prst="rect">
                        <a:avLst/>
                      </a:prstGeom>
                      <a:solidFill>
                        <a:schemeClr val="lt1"/>
                      </a:solidFill>
                      <a:ln w="6350">
                        <a:noFill/>
                      </a:ln>
                    </wps:spPr>
                    <wps:txbx>
                      <w:txbxContent>
                        <w:p w14:paraId="273770EC" w14:textId="5AA1E4B1" w:rsidR="004C6A05" w:rsidRPr="004C6A05" w:rsidRDefault="004C6A05" w:rsidP="004C6A05">
                          <w:pPr>
                            <w:rPr>
                              <w:rFonts w:ascii="IBM Plex Sans" w:hAnsi="IBM Plex Sans"/>
                              <w:sz w:val="18"/>
                              <w:szCs w:val="18"/>
                            </w:rPr>
                          </w:pPr>
                          <w:r>
                            <w:rPr>
                              <w:rFonts w:ascii="IBM Plex Sans" w:hAnsi="IBM Plex Sans"/>
                              <w:sz w:val="18"/>
                              <w:szCs w:val="18"/>
                            </w:rPr>
                            <w:t xml:space="preserve">© 2015 </w:t>
                          </w:r>
                          <w:r w:rsidRPr="004C6A05">
                            <w:rPr>
                              <w:rFonts w:ascii="IBM Plex Sans" w:hAnsi="IBM Plex Sans"/>
                              <w:sz w:val="18"/>
                              <w:szCs w:val="18"/>
                            </w:rPr>
                            <w:t>Education</w:t>
                          </w:r>
                          <w:r>
                            <w:rPr>
                              <w:rFonts w:ascii="IBM Plex Sans" w:hAnsi="IBM Plex Sans"/>
                              <w:sz w:val="18"/>
                              <w:szCs w:val="18"/>
                            </w:rPr>
                            <w:t xml:space="preserve"> Development Center</w:t>
                          </w:r>
                          <w:r w:rsidRPr="004C6A05">
                            <w:rPr>
                              <w:rFonts w:ascii="IBM Plex Sans" w:hAnsi="IBM Plex Sans"/>
                              <w:sz w:val="18"/>
                              <w:szCs w:val="18"/>
                            </w:rPr>
                            <w:t xml:space="preserve"> </w:t>
                          </w:r>
                          <w:r>
                            <w:rPr>
                              <w:rFonts w:ascii="IBM Plex Sans" w:hAnsi="IBM Plex Sans"/>
                              <w:sz w:val="18"/>
                              <w:szCs w:val="18"/>
                            </w:rPr>
                            <w:t>| Updated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66D8F" id="_x0000_t202" coordsize="21600,21600" o:spt="202" path="m,l,21600r21600,l21600,xe">
              <v:stroke joinstyle="miter"/>
              <v:path gradientshapeok="t" o:connecttype="rect"/>
            </v:shapetype>
            <v:shape id="Text Box 18" o:spid="_x0000_s1026" type="#_x0000_t202" style="position:absolute;left:0;text-align:left;margin-left:34.95pt;margin-top:9.8pt;width:411.3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" fillcolor="white [3201]" stroked="f" strokeweight=".5pt">
              <v:textbox>
                <w:txbxContent>
                  <w:p w14:paraId="273770EC" w14:textId="5AA1E4B1" w:rsidR="004C6A05" w:rsidRPr="004C6A05" w:rsidRDefault="004C6A05" w:rsidP="004C6A05">
                    <w:pPr>
                      <w:rPr>
                        <w:rFonts w:ascii="IBM Plex Sans" w:hAnsi="IBM Plex Sans"/>
                        <w:sz w:val="18"/>
                        <w:szCs w:val="18"/>
                      </w:rPr>
                    </w:pPr>
                    <w:r>
                      <w:rPr>
                        <w:rFonts w:ascii="IBM Plex Sans" w:hAnsi="IBM Plex Sans"/>
                        <w:sz w:val="18"/>
                        <w:szCs w:val="18"/>
                      </w:rPr>
                      <w:t xml:space="preserve">© 2015 </w:t>
                    </w:r>
                    <w:r w:rsidRPr="004C6A05">
                      <w:rPr>
                        <w:rFonts w:ascii="IBM Plex Sans" w:hAnsi="IBM Plex Sans"/>
                        <w:sz w:val="18"/>
                        <w:szCs w:val="18"/>
                      </w:rPr>
                      <w:t>Education</w:t>
                    </w:r>
                    <w:r>
                      <w:rPr>
                        <w:rFonts w:ascii="IBM Plex Sans" w:hAnsi="IBM Plex Sans"/>
                        <w:sz w:val="18"/>
                        <w:szCs w:val="18"/>
                      </w:rPr>
                      <w:t xml:space="preserve"> Development Center</w:t>
                    </w:r>
                    <w:r w:rsidRPr="004C6A05">
                      <w:rPr>
                        <w:rFonts w:ascii="IBM Plex Sans" w:hAnsi="IBM Plex Sans"/>
                        <w:sz w:val="18"/>
                        <w:szCs w:val="18"/>
                      </w:rPr>
                      <w:t xml:space="preserve"> </w:t>
                    </w:r>
                    <w:r>
                      <w:rPr>
                        <w:rFonts w:ascii="IBM Plex Sans" w:hAnsi="IBM Plex Sans"/>
                        <w:sz w:val="18"/>
                        <w:szCs w:val="18"/>
                      </w:rPr>
                      <w:t>| Updated 2025</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420D" w14:textId="192834A2" w:rsidR="0077376B" w:rsidRPr="002458E5" w:rsidRDefault="007033FE">
    <w:pPr>
      <w:pStyle w:val="BodyText"/>
      <w:spacing w:line="14" w:lineRule="auto"/>
      <w:rPr>
        <w:rFonts w:ascii="IBM Plex Sans" w:hAnsi="IBM Plex Sans"/>
        <w:sz w:val="20"/>
      </w:rPr>
    </w:pPr>
    <w:r>
      <w:rPr>
        <w:noProof/>
      </w:rPr>
      <mc:AlternateContent>
        <mc:Choice Requires="wps">
          <w:drawing>
            <wp:anchor distT="0" distB="0" distL="114300" distR="114300" simplePos="0" relativeHeight="251664384" behindDoc="0" locked="0" layoutInCell="1" allowOverlap="1" wp14:anchorId="3677F09C" wp14:editId="7BFDC15E">
              <wp:simplePos x="0" y="0"/>
              <wp:positionH relativeFrom="column">
                <wp:posOffset>469900</wp:posOffset>
              </wp:positionH>
              <wp:positionV relativeFrom="paragraph">
                <wp:posOffset>-179542</wp:posOffset>
              </wp:positionV>
              <wp:extent cx="5223849" cy="325925"/>
              <wp:effectExtent l="0" t="0" r="0" b="0"/>
              <wp:wrapNone/>
              <wp:docPr id="306197384" name="Text Box 18"/>
              <wp:cNvGraphicFramePr/>
              <a:graphic xmlns:a="http://schemas.openxmlformats.org/drawingml/2006/main">
                <a:graphicData uri="http://schemas.microsoft.com/office/word/2010/wordprocessingShape">
                  <wps:wsp>
                    <wps:cNvSpPr txBox="1"/>
                    <wps:spPr>
                      <a:xfrm>
                        <a:off x="0" y="0"/>
                        <a:ext cx="5223849" cy="325925"/>
                      </a:xfrm>
                      <a:prstGeom prst="rect">
                        <a:avLst/>
                      </a:prstGeom>
                      <a:noFill/>
                      <a:ln w="6350">
                        <a:noFill/>
                      </a:ln>
                    </wps:spPr>
                    <wps:txbx>
                      <w:txbxContent>
                        <w:p w14:paraId="13ED7EDA" w14:textId="48641BC6" w:rsidR="007033FE" w:rsidRPr="004C6A05" w:rsidRDefault="007033FE" w:rsidP="007033FE">
                          <w:pPr>
                            <w:rPr>
                              <w:rFonts w:ascii="IBM Plex Sans" w:hAnsi="IBM Plex Sans"/>
                              <w:sz w:val="18"/>
                              <w:szCs w:val="18"/>
                            </w:rPr>
                          </w:pPr>
                          <w:r>
                            <w:rPr>
                              <w:rFonts w:ascii="IBM Plex Sans" w:hAnsi="IBM Plex Sans"/>
                              <w:sz w:val="18"/>
                              <w:szCs w:val="18"/>
                            </w:rPr>
                            <w:t>Zero Suicide Data Elements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7F09C" id="_x0000_t202" coordsize="21600,21600" o:spt="202" path="m,l,21600r21600,l21600,xe">
              <v:stroke joinstyle="miter"/>
              <v:path gradientshapeok="t" o:connecttype="rect"/>
            </v:shapetype>
            <v:shape id="_x0000_s1027" type="#_x0000_t202" style="position:absolute;margin-left:37pt;margin-top:-14.15pt;width:411.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" filled="f" stroked="f" strokeweight=".5pt">
              <v:textbox>
                <w:txbxContent>
                  <w:p w14:paraId="13ED7EDA" w14:textId="48641BC6" w:rsidR="007033FE" w:rsidRPr="004C6A05" w:rsidRDefault="007033FE" w:rsidP="007033FE">
                    <w:pPr>
                      <w:rPr>
                        <w:rFonts w:ascii="IBM Plex Sans" w:hAnsi="IBM Plex Sans"/>
                        <w:sz w:val="18"/>
                        <w:szCs w:val="18"/>
                      </w:rPr>
                    </w:pPr>
                    <w:r>
                      <w:rPr>
                        <w:rFonts w:ascii="IBM Plex Sans" w:hAnsi="IBM Plex Sans"/>
                        <w:sz w:val="18"/>
                        <w:szCs w:val="18"/>
                      </w:rPr>
                      <w:t>Zero Suicide Data Elements Worksheet</w:t>
                    </w:r>
                  </w:p>
                </w:txbxContent>
              </v:textbox>
            </v:shape>
          </w:pict>
        </mc:Fallback>
      </mc:AlternateContent>
    </w:r>
    <w:r w:rsidR="00FE655E" w:rsidRPr="002458E5">
      <w:rPr>
        <w:rFonts w:ascii="IBM Plex Sans" w:hAnsi="IBM Plex Sans"/>
        <w:noProof/>
      </w:rPr>
      <mc:AlternateContent>
        <mc:Choice Requires="wps">
          <w:drawing>
            <wp:anchor distT="0" distB="0" distL="114300" distR="114300" simplePos="0" relativeHeight="250881024" behindDoc="1" locked="0" layoutInCell="1" allowOverlap="1" wp14:anchorId="54FFACFC" wp14:editId="6F57F5F3">
              <wp:simplePos x="0" y="0"/>
              <wp:positionH relativeFrom="page">
                <wp:posOffset>0</wp:posOffset>
              </wp:positionH>
              <wp:positionV relativeFrom="page">
                <wp:posOffset>7555230</wp:posOffset>
              </wp:positionV>
              <wp:extent cx="10058400" cy="217170"/>
              <wp:effectExtent l="0" t="0" r="0" b="0"/>
              <wp:wrapNone/>
              <wp:docPr id="9704879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217170"/>
                      </a:xfrm>
                      <a:prstGeom prst="rect">
                        <a:avLst/>
                      </a:prstGeom>
                      <a:solidFill>
                        <a:srgbClr val="FFB5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40C03" id="Rectangle 2" o:spid="_x0000_s1026" style="position:absolute;margin-left:0;margin-top:594.9pt;width:11in;height:17.1pt;z-index:-25243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" fillcolor="#ffb500" stroked="f">
              <w10:wrap anchorx="page" anchory="page"/>
            </v:rect>
          </w:pict>
        </mc:Fallback>
      </mc:AlternateContent>
    </w:r>
    <w:r w:rsidR="00FE655E" w:rsidRPr="002458E5">
      <w:rPr>
        <w:rFonts w:ascii="IBM Plex Sans" w:hAnsi="IBM Plex Sans"/>
        <w:noProof/>
      </w:rPr>
      <mc:AlternateContent>
        <mc:Choice Requires="wps">
          <w:drawing>
            <wp:anchor distT="0" distB="0" distL="114300" distR="114300" simplePos="0" relativeHeight="250882048" behindDoc="1" locked="0" layoutInCell="1" allowOverlap="1" wp14:anchorId="6F9C26B8" wp14:editId="3377907B">
              <wp:simplePos x="0" y="0"/>
              <wp:positionH relativeFrom="page">
                <wp:posOffset>9504680</wp:posOffset>
              </wp:positionH>
              <wp:positionV relativeFrom="page">
                <wp:posOffset>7279640</wp:posOffset>
              </wp:positionV>
              <wp:extent cx="135255" cy="163195"/>
              <wp:effectExtent l="0" t="0" r="0" b="0"/>
              <wp:wrapNone/>
              <wp:docPr id="1981260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0B6CB" w14:textId="77777777" w:rsidR="0077376B" w:rsidRPr="00561FBB" w:rsidRDefault="00741200">
                          <w:pPr>
                            <w:spacing w:before="22"/>
                            <w:ind w:left="60"/>
                            <w:rPr>
                              <w:rFonts w:ascii="IBM Plex Sans" w:hAnsi="IBM Plex Sans"/>
                              <w:sz w:val="18"/>
                            </w:rPr>
                          </w:pPr>
                          <w:r w:rsidRPr="00561FBB">
                            <w:rPr>
                              <w:rFonts w:ascii="IBM Plex Sans" w:hAnsi="IBM Plex Sans"/>
                            </w:rPr>
                            <w:fldChar w:fldCharType="begin"/>
                          </w:r>
                          <w:r w:rsidRPr="00561FBB">
                            <w:rPr>
                              <w:rFonts w:ascii="IBM Plex Sans" w:hAnsi="IBM Plex Sans"/>
                              <w:color w:val="3E414B"/>
                              <w:w w:val="92"/>
                              <w:sz w:val="18"/>
                            </w:rPr>
                            <w:instrText xml:space="preserve"> PAGE </w:instrText>
                          </w:r>
                          <w:r w:rsidRPr="00561FBB">
                            <w:rPr>
                              <w:rFonts w:ascii="IBM Plex Sans" w:hAnsi="IBM Plex Sans"/>
                            </w:rPr>
                            <w:fldChar w:fldCharType="separate"/>
                          </w:r>
                          <w:r w:rsidRPr="00561FBB">
                            <w:rPr>
                              <w:rFonts w:ascii="IBM Plex Sans" w:hAnsi="IBM Plex Sans"/>
                            </w:rPr>
                            <w:t>2</w:t>
                          </w:r>
                          <w:r w:rsidRPr="00561FBB">
                            <w:rPr>
                              <w:rFonts w:ascii="IBM Plex Sans" w:hAnsi="IBM Plex San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26B8" id="Text Box 1" o:spid="_x0000_s1028" type="#_x0000_t202" style="position:absolute;margin-left:748.4pt;margin-top:573.2pt;width:10.65pt;height:12.85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" filled="f" stroked="f">
              <v:textbox inset="0,0,0,0">
                <w:txbxContent>
                  <w:p w14:paraId="4080B6CB" w14:textId="77777777" w:rsidR="0077376B" w:rsidRPr="00561FBB" w:rsidRDefault="00741200">
                    <w:pPr>
                      <w:spacing w:before="22"/>
                      <w:ind w:left="60"/>
                      <w:rPr>
                        <w:rFonts w:ascii="IBM Plex Sans" w:hAnsi="IBM Plex Sans"/>
                        <w:sz w:val="18"/>
                      </w:rPr>
                    </w:pPr>
                    <w:r w:rsidRPr="00561FBB">
                      <w:rPr>
                        <w:rFonts w:ascii="IBM Plex Sans" w:hAnsi="IBM Plex Sans"/>
                      </w:rPr>
                      <w:fldChar w:fldCharType="begin"/>
                    </w:r>
                    <w:r w:rsidRPr="00561FBB">
                      <w:rPr>
                        <w:rFonts w:ascii="IBM Plex Sans" w:hAnsi="IBM Plex Sans"/>
                        <w:color w:val="3E414B"/>
                        <w:w w:val="92"/>
                        <w:sz w:val="18"/>
                      </w:rPr>
                      <w:instrText xml:space="preserve"> PAGE </w:instrText>
                    </w:r>
                    <w:r w:rsidRPr="00561FBB">
                      <w:rPr>
                        <w:rFonts w:ascii="IBM Plex Sans" w:hAnsi="IBM Plex Sans"/>
                      </w:rPr>
                      <w:fldChar w:fldCharType="separate"/>
                    </w:r>
                    <w:r w:rsidRPr="00561FBB">
                      <w:rPr>
                        <w:rFonts w:ascii="IBM Plex Sans" w:hAnsi="IBM Plex Sans"/>
                      </w:rPr>
                      <w:t>2</w:t>
                    </w:r>
                    <w:r w:rsidRPr="00561FBB">
                      <w:rPr>
                        <w:rFonts w:ascii="IBM Plex Sans" w:hAnsi="IBM Plex San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2DA1" w14:textId="77777777" w:rsidR="00FB7E4F" w:rsidRDefault="00FB7E4F">
      <w:r>
        <w:separator/>
      </w:r>
    </w:p>
  </w:footnote>
  <w:footnote w:type="continuationSeparator" w:id="0">
    <w:p w14:paraId="26DDB69E" w14:textId="77777777" w:rsidR="00FB7E4F" w:rsidRDefault="00FB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7597" w14:textId="76FA214F" w:rsidR="004C6A05" w:rsidRDefault="004C6A05">
    <w:pPr>
      <w:pStyle w:val="Header"/>
    </w:pPr>
    <w:r w:rsidRPr="002458E5">
      <w:rPr>
        <w:rFonts w:ascii="IBM Plex Sans" w:hAnsi="IBM Plex Sans"/>
        <w:noProof/>
      </w:rPr>
      <mc:AlternateContent>
        <mc:Choice Requires="wps">
          <w:drawing>
            <wp:anchor distT="0" distB="0" distL="114300" distR="114300" simplePos="0" relativeHeight="251659264" behindDoc="1" locked="0" layoutInCell="1" allowOverlap="1" wp14:anchorId="0ACEFFF7" wp14:editId="1E1DDFC4">
              <wp:simplePos x="0" y="0"/>
              <wp:positionH relativeFrom="page">
                <wp:posOffset>0</wp:posOffset>
              </wp:positionH>
              <wp:positionV relativeFrom="page">
                <wp:posOffset>13580</wp:posOffset>
              </wp:positionV>
              <wp:extent cx="10058400" cy="217170"/>
              <wp:effectExtent l="0" t="0" r="0" b="0"/>
              <wp:wrapNone/>
              <wp:docPr id="12333981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217170"/>
                      </a:xfrm>
                      <a:prstGeom prst="rect">
                        <a:avLst/>
                      </a:prstGeom>
                      <a:solidFill>
                        <a:srgbClr val="FFB5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71FB" id="Rectangle 2" o:spid="_x0000_s1026" style="position:absolute;margin-left:0;margin-top:1.05pt;width:11in;height:1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" fillcolor="#ffb50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E83" w14:textId="12D94A56" w:rsidR="0077376B" w:rsidRPr="002458E5" w:rsidRDefault="002458E5">
    <w:pPr>
      <w:pStyle w:val="BodyText"/>
      <w:spacing w:line="14" w:lineRule="auto"/>
      <w:rPr>
        <w:rFonts w:ascii="IBM Plex Sans" w:hAnsi="IBM Plex Sans"/>
        <w:color w:val="296BF7"/>
        <w:sz w:val="20"/>
        <w:u w:val="single"/>
      </w:rPr>
    </w:pPr>
    <w:proofErr w:type="spellStart"/>
    <w:r>
      <w:rPr>
        <w:rFonts w:ascii="IBM Plex Sans" w:hAnsi="IBM Plex Sans"/>
        <w:color w:val="296BF7"/>
        <w:sz w:val="20"/>
        <w:u w:val="single"/>
      </w:rPr>
      <w:t>wws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75995"/>
    <w:multiLevelType w:val="hybridMultilevel"/>
    <w:tmpl w:val="E3605A40"/>
    <w:lvl w:ilvl="0" w:tplc="B6B4A060">
      <w:numFmt w:val="bullet"/>
      <w:lvlText w:val="•"/>
      <w:lvlJc w:val="left"/>
      <w:pPr>
        <w:ind w:left="899" w:hanging="180"/>
      </w:pPr>
      <w:rPr>
        <w:rFonts w:ascii="Arial" w:eastAsia="Arial" w:hAnsi="Arial" w:cs="Arial" w:hint="default"/>
        <w:color w:val="14768C"/>
        <w:w w:val="96"/>
        <w:sz w:val="19"/>
        <w:szCs w:val="19"/>
        <w:lang w:val="en-US" w:eastAsia="en-US" w:bidi="en-US"/>
      </w:rPr>
    </w:lvl>
    <w:lvl w:ilvl="1" w:tplc="1E5CEEF2">
      <w:numFmt w:val="bullet"/>
      <w:lvlText w:val="•"/>
      <w:lvlJc w:val="left"/>
      <w:pPr>
        <w:ind w:left="2394" w:hanging="180"/>
      </w:pPr>
      <w:rPr>
        <w:rFonts w:hint="default"/>
        <w:lang w:val="en-US" w:eastAsia="en-US" w:bidi="en-US"/>
      </w:rPr>
    </w:lvl>
    <w:lvl w:ilvl="2" w:tplc="48FA0992">
      <w:numFmt w:val="bullet"/>
      <w:lvlText w:val="•"/>
      <w:lvlJc w:val="left"/>
      <w:pPr>
        <w:ind w:left="3888" w:hanging="180"/>
      </w:pPr>
      <w:rPr>
        <w:rFonts w:hint="default"/>
        <w:lang w:val="en-US" w:eastAsia="en-US" w:bidi="en-US"/>
      </w:rPr>
    </w:lvl>
    <w:lvl w:ilvl="3" w:tplc="70DC242A">
      <w:numFmt w:val="bullet"/>
      <w:lvlText w:val="•"/>
      <w:lvlJc w:val="left"/>
      <w:pPr>
        <w:ind w:left="5382" w:hanging="180"/>
      </w:pPr>
      <w:rPr>
        <w:rFonts w:hint="default"/>
        <w:lang w:val="en-US" w:eastAsia="en-US" w:bidi="en-US"/>
      </w:rPr>
    </w:lvl>
    <w:lvl w:ilvl="4" w:tplc="C11C034A">
      <w:numFmt w:val="bullet"/>
      <w:lvlText w:val="•"/>
      <w:lvlJc w:val="left"/>
      <w:pPr>
        <w:ind w:left="6876" w:hanging="180"/>
      </w:pPr>
      <w:rPr>
        <w:rFonts w:hint="default"/>
        <w:lang w:val="en-US" w:eastAsia="en-US" w:bidi="en-US"/>
      </w:rPr>
    </w:lvl>
    <w:lvl w:ilvl="5" w:tplc="A398B12A">
      <w:numFmt w:val="bullet"/>
      <w:lvlText w:val="•"/>
      <w:lvlJc w:val="left"/>
      <w:pPr>
        <w:ind w:left="8370" w:hanging="180"/>
      </w:pPr>
      <w:rPr>
        <w:rFonts w:hint="default"/>
        <w:lang w:val="en-US" w:eastAsia="en-US" w:bidi="en-US"/>
      </w:rPr>
    </w:lvl>
    <w:lvl w:ilvl="6" w:tplc="24B481A4">
      <w:numFmt w:val="bullet"/>
      <w:lvlText w:val="•"/>
      <w:lvlJc w:val="left"/>
      <w:pPr>
        <w:ind w:left="9864" w:hanging="180"/>
      </w:pPr>
      <w:rPr>
        <w:rFonts w:hint="default"/>
        <w:lang w:val="en-US" w:eastAsia="en-US" w:bidi="en-US"/>
      </w:rPr>
    </w:lvl>
    <w:lvl w:ilvl="7" w:tplc="CE260F02">
      <w:numFmt w:val="bullet"/>
      <w:lvlText w:val="•"/>
      <w:lvlJc w:val="left"/>
      <w:pPr>
        <w:ind w:left="11358" w:hanging="180"/>
      </w:pPr>
      <w:rPr>
        <w:rFonts w:hint="default"/>
        <w:lang w:val="en-US" w:eastAsia="en-US" w:bidi="en-US"/>
      </w:rPr>
    </w:lvl>
    <w:lvl w:ilvl="8" w:tplc="33F83668">
      <w:numFmt w:val="bullet"/>
      <w:lvlText w:val="•"/>
      <w:lvlJc w:val="left"/>
      <w:pPr>
        <w:ind w:left="12852" w:hanging="180"/>
      </w:pPr>
      <w:rPr>
        <w:rFonts w:hint="default"/>
        <w:lang w:val="en-US" w:eastAsia="en-US" w:bidi="en-US"/>
      </w:rPr>
    </w:lvl>
  </w:abstractNum>
  <w:abstractNum w:abstractNumId="1" w15:restartNumberingAfterBreak="0">
    <w:nsid w:val="6EF909A2"/>
    <w:multiLevelType w:val="hybridMultilevel"/>
    <w:tmpl w:val="CB2C0EF4"/>
    <w:lvl w:ilvl="0" w:tplc="121E8C46">
      <w:start w:val="1"/>
      <w:numFmt w:val="bullet"/>
      <w:lvlText w:val=""/>
      <w:lvlJc w:val="left"/>
      <w:pPr>
        <w:ind w:left="1079" w:hanging="360"/>
      </w:pPr>
      <w:rPr>
        <w:rFonts w:ascii="Wingdings" w:hAnsi="Wingdings" w:hint="default"/>
        <w:color w:val="FFB500"/>
        <w:w w:val="96"/>
        <w:sz w:val="19"/>
        <w:szCs w:val="19"/>
        <w:lang w:val="en-US" w:eastAsia="en-US" w:bidi="en-US"/>
      </w:rPr>
    </w:lvl>
    <w:lvl w:ilvl="1" w:tplc="FFFFFFFF">
      <w:numFmt w:val="bullet"/>
      <w:lvlText w:val="•"/>
      <w:lvlJc w:val="left"/>
      <w:pPr>
        <w:ind w:left="2394" w:hanging="180"/>
      </w:pPr>
      <w:rPr>
        <w:rFonts w:hint="default"/>
        <w:lang w:val="en-US" w:eastAsia="en-US" w:bidi="en-US"/>
      </w:rPr>
    </w:lvl>
    <w:lvl w:ilvl="2" w:tplc="FFFFFFFF">
      <w:numFmt w:val="bullet"/>
      <w:lvlText w:val="•"/>
      <w:lvlJc w:val="left"/>
      <w:pPr>
        <w:ind w:left="3888" w:hanging="180"/>
      </w:pPr>
      <w:rPr>
        <w:rFonts w:hint="default"/>
        <w:lang w:val="en-US" w:eastAsia="en-US" w:bidi="en-US"/>
      </w:rPr>
    </w:lvl>
    <w:lvl w:ilvl="3" w:tplc="FFFFFFFF">
      <w:numFmt w:val="bullet"/>
      <w:lvlText w:val="•"/>
      <w:lvlJc w:val="left"/>
      <w:pPr>
        <w:ind w:left="5382" w:hanging="180"/>
      </w:pPr>
      <w:rPr>
        <w:rFonts w:hint="default"/>
        <w:lang w:val="en-US" w:eastAsia="en-US" w:bidi="en-US"/>
      </w:rPr>
    </w:lvl>
    <w:lvl w:ilvl="4" w:tplc="FFFFFFFF">
      <w:numFmt w:val="bullet"/>
      <w:lvlText w:val="•"/>
      <w:lvlJc w:val="left"/>
      <w:pPr>
        <w:ind w:left="6876" w:hanging="180"/>
      </w:pPr>
      <w:rPr>
        <w:rFonts w:hint="default"/>
        <w:lang w:val="en-US" w:eastAsia="en-US" w:bidi="en-US"/>
      </w:rPr>
    </w:lvl>
    <w:lvl w:ilvl="5" w:tplc="FFFFFFFF">
      <w:numFmt w:val="bullet"/>
      <w:lvlText w:val="•"/>
      <w:lvlJc w:val="left"/>
      <w:pPr>
        <w:ind w:left="8370" w:hanging="180"/>
      </w:pPr>
      <w:rPr>
        <w:rFonts w:hint="default"/>
        <w:lang w:val="en-US" w:eastAsia="en-US" w:bidi="en-US"/>
      </w:rPr>
    </w:lvl>
    <w:lvl w:ilvl="6" w:tplc="FFFFFFFF">
      <w:numFmt w:val="bullet"/>
      <w:lvlText w:val="•"/>
      <w:lvlJc w:val="left"/>
      <w:pPr>
        <w:ind w:left="9864" w:hanging="180"/>
      </w:pPr>
      <w:rPr>
        <w:rFonts w:hint="default"/>
        <w:lang w:val="en-US" w:eastAsia="en-US" w:bidi="en-US"/>
      </w:rPr>
    </w:lvl>
    <w:lvl w:ilvl="7" w:tplc="FFFFFFFF">
      <w:numFmt w:val="bullet"/>
      <w:lvlText w:val="•"/>
      <w:lvlJc w:val="left"/>
      <w:pPr>
        <w:ind w:left="11358" w:hanging="180"/>
      </w:pPr>
      <w:rPr>
        <w:rFonts w:hint="default"/>
        <w:lang w:val="en-US" w:eastAsia="en-US" w:bidi="en-US"/>
      </w:rPr>
    </w:lvl>
    <w:lvl w:ilvl="8" w:tplc="FFFFFFFF">
      <w:numFmt w:val="bullet"/>
      <w:lvlText w:val="•"/>
      <w:lvlJc w:val="left"/>
      <w:pPr>
        <w:ind w:left="12852" w:hanging="180"/>
      </w:pPr>
      <w:rPr>
        <w:rFonts w:hint="default"/>
        <w:lang w:val="en-US" w:eastAsia="en-US" w:bidi="en-US"/>
      </w:rPr>
    </w:lvl>
  </w:abstractNum>
  <w:abstractNum w:abstractNumId="2" w15:restartNumberingAfterBreak="0">
    <w:nsid w:val="705D645C"/>
    <w:multiLevelType w:val="hybridMultilevel"/>
    <w:tmpl w:val="D62E5C1C"/>
    <w:lvl w:ilvl="0" w:tplc="00643DEC">
      <w:numFmt w:val="bullet"/>
      <w:lvlText w:val=""/>
      <w:lvlJc w:val="left"/>
      <w:pPr>
        <w:ind w:left="899" w:hanging="180"/>
      </w:pPr>
      <w:rPr>
        <w:rFonts w:ascii="Symbol" w:eastAsia="Arial" w:hAnsi="Symbol" w:hint="default"/>
        <w:color w:val="auto"/>
        <w:w w:val="96"/>
        <w:sz w:val="19"/>
        <w:szCs w:val="19"/>
        <w:lang w:val="en-US" w:eastAsia="en-US" w:bidi="en-US"/>
      </w:rPr>
    </w:lvl>
    <w:lvl w:ilvl="1" w:tplc="FFFFFFFF">
      <w:numFmt w:val="bullet"/>
      <w:lvlText w:val="•"/>
      <w:lvlJc w:val="left"/>
      <w:pPr>
        <w:ind w:left="2394" w:hanging="180"/>
      </w:pPr>
      <w:rPr>
        <w:rFonts w:hint="default"/>
        <w:lang w:val="en-US" w:eastAsia="en-US" w:bidi="en-US"/>
      </w:rPr>
    </w:lvl>
    <w:lvl w:ilvl="2" w:tplc="FFFFFFFF">
      <w:numFmt w:val="bullet"/>
      <w:lvlText w:val="•"/>
      <w:lvlJc w:val="left"/>
      <w:pPr>
        <w:ind w:left="3888" w:hanging="180"/>
      </w:pPr>
      <w:rPr>
        <w:rFonts w:hint="default"/>
        <w:lang w:val="en-US" w:eastAsia="en-US" w:bidi="en-US"/>
      </w:rPr>
    </w:lvl>
    <w:lvl w:ilvl="3" w:tplc="FFFFFFFF">
      <w:numFmt w:val="bullet"/>
      <w:lvlText w:val="•"/>
      <w:lvlJc w:val="left"/>
      <w:pPr>
        <w:ind w:left="5382" w:hanging="180"/>
      </w:pPr>
      <w:rPr>
        <w:rFonts w:hint="default"/>
        <w:lang w:val="en-US" w:eastAsia="en-US" w:bidi="en-US"/>
      </w:rPr>
    </w:lvl>
    <w:lvl w:ilvl="4" w:tplc="FFFFFFFF">
      <w:numFmt w:val="bullet"/>
      <w:lvlText w:val="•"/>
      <w:lvlJc w:val="left"/>
      <w:pPr>
        <w:ind w:left="6876" w:hanging="180"/>
      </w:pPr>
      <w:rPr>
        <w:rFonts w:hint="default"/>
        <w:lang w:val="en-US" w:eastAsia="en-US" w:bidi="en-US"/>
      </w:rPr>
    </w:lvl>
    <w:lvl w:ilvl="5" w:tplc="FFFFFFFF">
      <w:numFmt w:val="bullet"/>
      <w:lvlText w:val="•"/>
      <w:lvlJc w:val="left"/>
      <w:pPr>
        <w:ind w:left="8370" w:hanging="180"/>
      </w:pPr>
      <w:rPr>
        <w:rFonts w:hint="default"/>
        <w:lang w:val="en-US" w:eastAsia="en-US" w:bidi="en-US"/>
      </w:rPr>
    </w:lvl>
    <w:lvl w:ilvl="6" w:tplc="FFFFFFFF">
      <w:numFmt w:val="bullet"/>
      <w:lvlText w:val="•"/>
      <w:lvlJc w:val="left"/>
      <w:pPr>
        <w:ind w:left="9864" w:hanging="180"/>
      </w:pPr>
      <w:rPr>
        <w:rFonts w:hint="default"/>
        <w:lang w:val="en-US" w:eastAsia="en-US" w:bidi="en-US"/>
      </w:rPr>
    </w:lvl>
    <w:lvl w:ilvl="7" w:tplc="FFFFFFFF">
      <w:numFmt w:val="bullet"/>
      <w:lvlText w:val="•"/>
      <w:lvlJc w:val="left"/>
      <w:pPr>
        <w:ind w:left="11358" w:hanging="180"/>
      </w:pPr>
      <w:rPr>
        <w:rFonts w:hint="default"/>
        <w:lang w:val="en-US" w:eastAsia="en-US" w:bidi="en-US"/>
      </w:rPr>
    </w:lvl>
    <w:lvl w:ilvl="8" w:tplc="FFFFFFFF">
      <w:numFmt w:val="bullet"/>
      <w:lvlText w:val="•"/>
      <w:lvlJc w:val="left"/>
      <w:pPr>
        <w:ind w:left="12852" w:hanging="180"/>
      </w:pPr>
      <w:rPr>
        <w:rFonts w:hint="default"/>
        <w:lang w:val="en-US" w:eastAsia="en-US" w:bidi="en-US"/>
      </w:rPr>
    </w:lvl>
  </w:abstractNum>
  <w:num w:numId="1" w16cid:durableId="260450599">
    <w:abstractNumId w:val="0"/>
  </w:num>
  <w:num w:numId="2" w16cid:durableId="1618023597">
    <w:abstractNumId w:val="2"/>
  </w:num>
  <w:num w:numId="3" w16cid:durableId="131891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6B"/>
    <w:rsid w:val="000E40E7"/>
    <w:rsid w:val="00127D97"/>
    <w:rsid w:val="00196484"/>
    <w:rsid w:val="002458E5"/>
    <w:rsid w:val="00271894"/>
    <w:rsid w:val="00272EBD"/>
    <w:rsid w:val="00276AEA"/>
    <w:rsid w:val="002B6E38"/>
    <w:rsid w:val="003129D4"/>
    <w:rsid w:val="00313E15"/>
    <w:rsid w:val="00336253"/>
    <w:rsid w:val="003741AE"/>
    <w:rsid w:val="003A63CF"/>
    <w:rsid w:val="003B7C37"/>
    <w:rsid w:val="003D27F6"/>
    <w:rsid w:val="003F3EC8"/>
    <w:rsid w:val="00402CB5"/>
    <w:rsid w:val="004C6A05"/>
    <w:rsid w:val="004F5DB7"/>
    <w:rsid w:val="00561FBB"/>
    <w:rsid w:val="005E7169"/>
    <w:rsid w:val="0063164F"/>
    <w:rsid w:val="006C22BB"/>
    <w:rsid w:val="006E28E8"/>
    <w:rsid w:val="006E74E3"/>
    <w:rsid w:val="007033FE"/>
    <w:rsid w:val="0070684D"/>
    <w:rsid w:val="007220C8"/>
    <w:rsid w:val="00741200"/>
    <w:rsid w:val="00746848"/>
    <w:rsid w:val="007517A3"/>
    <w:rsid w:val="0077376B"/>
    <w:rsid w:val="00857F86"/>
    <w:rsid w:val="00874D0B"/>
    <w:rsid w:val="008B1F4C"/>
    <w:rsid w:val="008F5AAA"/>
    <w:rsid w:val="008F7A59"/>
    <w:rsid w:val="009636AF"/>
    <w:rsid w:val="00986226"/>
    <w:rsid w:val="009874AD"/>
    <w:rsid w:val="009B0664"/>
    <w:rsid w:val="009B0716"/>
    <w:rsid w:val="00A10835"/>
    <w:rsid w:val="00A7742E"/>
    <w:rsid w:val="00AA382D"/>
    <w:rsid w:val="00B12BDC"/>
    <w:rsid w:val="00B22B11"/>
    <w:rsid w:val="00BD4F8B"/>
    <w:rsid w:val="00BF2EEC"/>
    <w:rsid w:val="00BF5C72"/>
    <w:rsid w:val="00C11187"/>
    <w:rsid w:val="00C335DF"/>
    <w:rsid w:val="00C51684"/>
    <w:rsid w:val="00C5438C"/>
    <w:rsid w:val="00D76B36"/>
    <w:rsid w:val="00E52C1D"/>
    <w:rsid w:val="00E736BA"/>
    <w:rsid w:val="00E93CB9"/>
    <w:rsid w:val="00EA2AD9"/>
    <w:rsid w:val="00F10DDA"/>
    <w:rsid w:val="00F34DC0"/>
    <w:rsid w:val="00FB1EAA"/>
    <w:rsid w:val="00FB7E4F"/>
    <w:rsid w:val="00FC0DAD"/>
    <w:rsid w:val="00FE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AB921"/>
  <w15:docId w15:val="{E5181B22-F907-4AD2-B094-4BD084FC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82"/>
      <w:ind w:left="899"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742E"/>
    <w:pPr>
      <w:tabs>
        <w:tab w:val="center" w:pos="4680"/>
        <w:tab w:val="right" w:pos="9360"/>
      </w:tabs>
    </w:pPr>
  </w:style>
  <w:style w:type="character" w:customStyle="1" w:styleId="HeaderChar">
    <w:name w:val="Header Char"/>
    <w:basedOn w:val="DefaultParagraphFont"/>
    <w:link w:val="Header"/>
    <w:uiPriority w:val="99"/>
    <w:rsid w:val="00A7742E"/>
    <w:rPr>
      <w:rFonts w:ascii="Arial" w:eastAsia="Arial" w:hAnsi="Arial" w:cs="Arial"/>
      <w:lang w:bidi="en-US"/>
    </w:rPr>
  </w:style>
  <w:style w:type="paragraph" w:styleId="Footer">
    <w:name w:val="footer"/>
    <w:basedOn w:val="Normal"/>
    <w:link w:val="FooterChar"/>
    <w:uiPriority w:val="99"/>
    <w:unhideWhenUsed/>
    <w:rsid w:val="00A7742E"/>
    <w:pPr>
      <w:tabs>
        <w:tab w:val="center" w:pos="4680"/>
        <w:tab w:val="right" w:pos="9360"/>
      </w:tabs>
    </w:pPr>
  </w:style>
  <w:style w:type="character" w:customStyle="1" w:styleId="FooterChar">
    <w:name w:val="Footer Char"/>
    <w:basedOn w:val="DefaultParagraphFont"/>
    <w:link w:val="Footer"/>
    <w:uiPriority w:val="99"/>
    <w:rsid w:val="00A7742E"/>
    <w:rPr>
      <w:rFonts w:ascii="Arial" w:eastAsia="Arial" w:hAnsi="Arial" w:cs="Arial"/>
      <w:lang w:bidi="en-US"/>
    </w:rPr>
  </w:style>
  <w:style w:type="character" w:styleId="Hyperlink">
    <w:name w:val="Hyperlink"/>
    <w:basedOn w:val="DefaultParagraphFont"/>
    <w:uiPriority w:val="99"/>
    <w:unhideWhenUsed/>
    <w:rsid w:val="00A7742E"/>
    <w:rPr>
      <w:color w:val="0000FF" w:themeColor="hyperlink"/>
      <w:u w:val="single"/>
    </w:rPr>
  </w:style>
  <w:style w:type="character" w:styleId="UnresolvedMention">
    <w:name w:val="Unresolved Mention"/>
    <w:basedOn w:val="DefaultParagraphFont"/>
    <w:uiPriority w:val="99"/>
    <w:semiHidden/>
    <w:unhideWhenUsed/>
    <w:rsid w:val="00A7742E"/>
    <w:rPr>
      <w:color w:val="605E5C"/>
      <w:shd w:val="clear" w:color="auto" w:fill="E1DFDD"/>
    </w:rPr>
  </w:style>
  <w:style w:type="paragraph" w:styleId="Revision">
    <w:name w:val="Revision"/>
    <w:hidden/>
    <w:uiPriority w:val="99"/>
    <w:semiHidden/>
    <w:rsid w:val="00313E15"/>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313E15"/>
    <w:rPr>
      <w:sz w:val="16"/>
      <w:szCs w:val="16"/>
    </w:rPr>
  </w:style>
  <w:style w:type="paragraph" w:styleId="CommentText">
    <w:name w:val="annotation text"/>
    <w:basedOn w:val="Normal"/>
    <w:link w:val="CommentTextChar"/>
    <w:uiPriority w:val="99"/>
    <w:unhideWhenUsed/>
    <w:rsid w:val="00313E15"/>
    <w:rPr>
      <w:sz w:val="20"/>
      <w:szCs w:val="20"/>
    </w:rPr>
  </w:style>
  <w:style w:type="character" w:customStyle="1" w:styleId="CommentTextChar">
    <w:name w:val="Comment Text Char"/>
    <w:basedOn w:val="DefaultParagraphFont"/>
    <w:link w:val="CommentText"/>
    <w:uiPriority w:val="99"/>
    <w:rsid w:val="00313E1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13E15"/>
    <w:rPr>
      <w:b/>
      <w:bCs/>
    </w:rPr>
  </w:style>
  <w:style w:type="character" w:customStyle="1" w:styleId="CommentSubjectChar">
    <w:name w:val="Comment Subject Char"/>
    <w:basedOn w:val="CommentTextChar"/>
    <w:link w:val="CommentSubject"/>
    <w:uiPriority w:val="99"/>
    <w:semiHidden/>
    <w:rsid w:val="00313E15"/>
    <w:rPr>
      <w:rFonts w:ascii="Arial" w:eastAsia="Arial" w:hAnsi="Arial" w:cs="Arial"/>
      <w:b/>
      <w:bCs/>
      <w:sz w:val="20"/>
      <w:szCs w:val="20"/>
      <w:lang w:bidi="en-US"/>
    </w:rPr>
  </w:style>
  <w:style w:type="character" w:styleId="FollowedHyperlink">
    <w:name w:val="FollowedHyperlink"/>
    <w:basedOn w:val="DefaultParagraphFont"/>
    <w:uiPriority w:val="99"/>
    <w:semiHidden/>
    <w:unhideWhenUsed/>
    <w:rsid w:val="00741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erosuicide.edc.org/resources/resource-database/zero-suicide-work-plan-templ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zerosuicide.edc.org/resources/key-resources/organizational-self-stud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dc.gov/violence-prevention/?CDC_AAref_Val=https://www.cdc.gov/violenceprevention/suicide/definitions.html." TargetMode="External"/><Relationship Id="rId20" Type="http://schemas.openxmlformats.org/officeDocument/2006/relationships/hyperlink" Target="https://zerosuicide.edc.org/tool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erosuicide.edc.org/resources/resource-database/zero-suicide-data-dashboa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zerosuicide.edc.org/toolkit/eng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ca452c-78aa-460b-8fd9-44c10a3acf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FAAC55655664F88F164F9B20A16F8" ma:contentTypeVersion="13" ma:contentTypeDescription="Create a new document." ma:contentTypeScope="" ma:versionID="9309727b02f72541bfe899fc86644725">
  <xsd:schema xmlns:xsd="http://www.w3.org/2001/XMLSchema" xmlns:xs="http://www.w3.org/2001/XMLSchema" xmlns:p="http://schemas.microsoft.com/office/2006/metadata/properties" xmlns:ns3="d8ca452c-78aa-460b-8fd9-44c10a3acf1b" xmlns:ns4="fe44e9c9-6ea5-464d-a87e-5fa7cf26dbc4" targetNamespace="http://schemas.microsoft.com/office/2006/metadata/properties" ma:root="true" ma:fieldsID="8f42021d9f3100650bb01b7cdc541c77" ns3:_="" ns4:_="">
    <xsd:import namespace="d8ca452c-78aa-460b-8fd9-44c10a3acf1b"/>
    <xsd:import namespace="fe44e9c9-6ea5-464d-a87e-5fa7cf26dbc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a452c-78aa-460b-8fd9-44c10a3a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e9c9-6ea5-464d-a87e-5fa7cf26db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435DE-029F-4992-BBF3-9610EC1369DB}">
  <ds:schemaRefs>
    <ds:schemaRef ds:uri="http://schemas.microsoft.com/sharepoint/v3/contenttype/forms"/>
  </ds:schemaRefs>
</ds:datastoreItem>
</file>

<file path=customXml/itemProps2.xml><?xml version="1.0" encoding="utf-8"?>
<ds:datastoreItem xmlns:ds="http://schemas.openxmlformats.org/officeDocument/2006/customXml" ds:itemID="{E481E0D1-9363-46EE-A0D8-DEFFB29841B9}">
  <ds:schemaRefs>
    <ds:schemaRef ds:uri="http://schemas.microsoft.com/office/2006/metadata/properties"/>
    <ds:schemaRef ds:uri="http://schemas.microsoft.com/office/infopath/2007/PartnerControls"/>
    <ds:schemaRef ds:uri="d8ca452c-78aa-460b-8fd9-44c10a3acf1b"/>
  </ds:schemaRefs>
</ds:datastoreItem>
</file>

<file path=customXml/itemProps3.xml><?xml version="1.0" encoding="utf-8"?>
<ds:datastoreItem xmlns:ds="http://schemas.openxmlformats.org/officeDocument/2006/customXml" ds:itemID="{885C0492-1B30-4B55-9261-A4839C55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a452c-78aa-460b-8fd9-44c10a3acf1b"/>
    <ds:schemaRef ds:uri="fe44e9c9-6ea5-464d-a87e-5fa7cf26d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Lisborg, Kathleen</dc:creator>
  <cp:lastModifiedBy>Lisborg, Kathleen</cp:lastModifiedBy>
  <cp:revision>2</cp:revision>
  <dcterms:created xsi:type="dcterms:W3CDTF">2024-12-06T16:01:00Z</dcterms:created>
  <dcterms:modified xsi:type="dcterms:W3CDTF">2024-12-06T16:01:00Z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Adobe InDesign CC 13.0 (Windows)</vt:lpwstr>
  </property>
  <property fmtid="{D5CDD505-2E9C-101B-9397-08002B2CF9AE}" pid="4" name="LastSaved">
    <vt:filetime>2024-10-03T00:00:00Z</vt:filetime>
  </property>
  <property fmtid="{D5CDD505-2E9C-101B-9397-08002B2CF9AE}" pid="5" name="ContentTypeId">
    <vt:lpwstr>0x010100B4EFAAC55655664F88F164F9B20A16F8</vt:lpwstr>
  </property>
</Properties>
</file>